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B9" w:rsidRDefault="005E5AB9" w:rsidP="005E5AB9">
      <w:pPr>
        <w:rPr>
          <w:rFonts w:cs="Open Sans"/>
          <w:b/>
          <w:color w:val="005374"/>
          <w:sz w:val="28"/>
          <w:szCs w:val="28"/>
        </w:rPr>
      </w:pPr>
      <w:r>
        <w:rPr>
          <w:rFonts w:cs="Open Sans"/>
          <w:b/>
          <w:noProof/>
          <w:color w:val="005374"/>
          <w:sz w:val="28"/>
          <w:szCs w:val="28"/>
          <w:lang w:eastAsia="en-NZ"/>
        </w:rPr>
        <w:drawing>
          <wp:inline distT="0" distB="0" distL="0" distR="0">
            <wp:extent cx="5731510" cy="12134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213485"/>
                    </a:xfrm>
                    <a:prstGeom prst="rect">
                      <a:avLst/>
                    </a:prstGeom>
                  </pic:spPr>
                </pic:pic>
              </a:graphicData>
            </a:graphic>
          </wp:inline>
        </w:drawing>
      </w:r>
    </w:p>
    <w:p w:rsidR="005E5AB9" w:rsidRDefault="005E5AB9" w:rsidP="00F4148D">
      <w:pPr>
        <w:jc w:val="center"/>
        <w:rPr>
          <w:rFonts w:cs="Open Sans"/>
          <w:b/>
          <w:color w:val="005374"/>
          <w:sz w:val="28"/>
          <w:szCs w:val="28"/>
        </w:rPr>
      </w:pPr>
    </w:p>
    <w:p w:rsidR="00F4148D" w:rsidRPr="00E42D90" w:rsidRDefault="000562DC" w:rsidP="00F4148D">
      <w:pPr>
        <w:jc w:val="center"/>
        <w:rPr>
          <w:rFonts w:cs="Open Sans"/>
          <w:b/>
          <w:color w:val="005374"/>
          <w:sz w:val="28"/>
          <w:szCs w:val="28"/>
        </w:rPr>
      </w:pPr>
      <w:r w:rsidRPr="00E42D90">
        <w:rPr>
          <w:rFonts w:cs="Open Sans"/>
          <w:b/>
          <w:color w:val="005374"/>
          <w:sz w:val="28"/>
          <w:szCs w:val="28"/>
        </w:rPr>
        <w:t>PREPARE TO ASSESS YOUR PRO</w:t>
      </w:r>
      <w:r w:rsidR="00121237">
        <w:rPr>
          <w:rFonts w:cs="Open Sans"/>
          <w:b/>
          <w:color w:val="005374"/>
          <w:sz w:val="28"/>
          <w:szCs w:val="28"/>
        </w:rPr>
        <w:t>TECTIVE SECURITY CAPABILITY 2023/24</w:t>
      </w:r>
    </w:p>
    <w:p w:rsidR="00E42D90" w:rsidRDefault="00E42D90" w:rsidP="000562DC"/>
    <w:p w:rsidR="00A21E12" w:rsidRPr="00091684" w:rsidRDefault="00A21E12" w:rsidP="00A21E12">
      <w:pPr>
        <w:rPr>
          <w:sz w:val="21"/>
          <w:szCs w:val="21"/>
        </w:rPr>
      </w:pPr>
      <w:r w:rsidRPr="00091684">
        <w:rPr>
          <w:sz w:val="21"/>
          <w:szCs w:val="21"/>
        </w:rPr>
        <w:t xml:space="preserve">Kia </w:t>
      </w:r>
      <w:proofErr w:type="spellStart"/>
      <w:r w:rsidRPr="00091684">
        <w:rPr>
          <w:sz w:val="21"/>
          <w:szCs w:val="21"/>
        </w:rPr>
        <w:t>ora</w:t>
      </w:r>
      <w:proofErr w:type="spellEnd"/>
      <w:r w:rsidRPr="00091684">
        <w:rPr>
          <w:sz w:val="21"/>
          <w:szCs w:val="21"/>
        </w:rPr>
        <w:t xml:space="preserve"> </w:t>
      </w:r>
      <w:proofErr w:type="spellStart"/>
      <w:r w:rsidRPr="00091684">
        <w:rPr>
          <w:sz w:val="21"/>
          <w:szCs w:val="21"/>
        </w:rPr>
        <w:t>koutou</w:t>
      </w:r>
      <w:proofErr w:type="spellEnd"/>
    </w:p>
    <w:p w:rsidR="00270266" w:rsidRPr="00091684" w:rsidRDefault="000562DC" w:rsidP="00121237">
      <w:pPr>
        <w:jc w:val="both"/>
        <w:rPr>
          <w:sz w:val="21"/>
          <w:szCs w:val="21"/>
        </w:rPr>
      </w:pPr>
      <w:r w:rsidRPr="00091684">
        <w:rPr>
          <w:sz w:val="21"/>
          <w:szCs w:val="21"/>
        </w:rPr>
        <w:t xml:space="preserve">The </w:t>
      </w:r>
      <w:r w:rsidR="00FB6B5A" w:rsidRPr="00091684">
        <w:rPr>
          <w:sz w:val="21"/>
          <w:szCs w:val="21"/>
        </w:rPr>
        <w:t xml:space="preserve">annual </w:t>
      </w:r>
      <w:r w:rsidRPr="00091684">
        <w:rPr>
          <w:sz w:val="21"/>
          <w:szCs w:val="21"/>
        </w:rPr>
        <w:t>P</w:t>
      </w:r>
      <w:r w:rsidR="00FB6B5A" w:rsidRPr="00091684">
        <w:rPr>
          <w:sz w:val="21"/>
          <w:szCs w:val="21"/>
        </w:rPr>
        <w:t xml:space="preserve">rotective </w:t>
      </w:r>
      <w:r w:rsidRPr="00091684">
        <w:rPr>
          <w:sz w:val="21"/>
          <w:szCs w:val="21"/>
        </w:rPr>
        <w:t>S</w:t>
      </w:r>
      <w:r w:rsidR="00FB6B5A" w:rsidRPr="00091684">
        <w:rPr>
          <w:sz w:val="21"/>
          <w:szCs w:val="21"/>
        </w:rPr>
        <w:t xml:space="preserve">ecurity </w:t>
      </w:r>
      <w:r w:rsidRPr="00091684">
        <w:rPr>
          <w:sz w:val="21"/>
          <w:szCs w:val="21"/>
        </w:rPr>
        <w:t>R</w:t>
      </w:r>
      <w:r w:rsidR="00FB6B5A" w:rsidRPr="00091684">
        <w:rPr>
          <w:sz w:val="21"/>
          <w:szCs w:val="21"/>
        </w:rPr>
        <w:t>equirements (PSR)</w:t>
      </w:r>
      <w:r w:rsidRPr="00091684">
        <w:rPr>
          <w:sz w:val="21"/>
          <w:szCs w:val="21"/>
        </w:rPr>
        <w:t xml:space="preserve"> capability self-assessment round is now open.</w:t>
      </w:r>
      <w:r w:rsidR="00E42D90" w:rsidRPr="00091684">
        <w:rPr>
          <w:sz w:val="21"/>
          <w:szCs w:val="21"/>
        </w:rPr>
        <w:t xml:space="preserve"> </w:t>
      </w:r>
    </w:p>
    <w:p w:rsidR="00A21E12" w:rsidRPr="00091684" w:rsidRDefault="00A21E12" w:rsidP="00121237">
      <w:pPr>
        <w:jc w:val="both"/>
        <w:rPr>
          <w:sz w:val="21"/>
          <w:szCs w:val="21"/>
        </w:rPr>
      </w:pPr>
      <w:r w:rsidRPr="00091684">
        <w:rPr>
          <w:sz w:val="21"/>
          <w:szCs w:val="21"/>
        </w:rPr>
        <w:t xml:space="preserve">Your Chief Executive is responsible for the self-assessment and final sign off of the report, which </w:t>
      </w:r>
      <w:r w:rsidR="00270266" w:rsidRPr="00091684">
        <w:rPr>
          <w:sz w:val="21"/>
          <w:szCs w:val="21"/>
        </w:rPr>
        <w:t>must be</w:t>
      </w:r>
      <w:r w:rsidRPr="00091684">
        <w:rPr>
          <w:sz w:val="21"/>
          <w:szCs w:val="21"/>
        </w:rPr>
        <w:t xml:space="preserve"> </w:t>
      </w:r>
      <w:r w:rsidRPr="00091684">
        <w:rPr>
          <w:b/>
          <w:color w:val="FC5830" w:themeColor="accent4"/>
          <w:sz w:val="21"/>
          <w:szCs w:val="21"/>
        </w:rPr>
        <w:t xml:space="preserve">submitted </w:t>
      </w:r>
      <w:r w:rsidR="00FB6B5A" w:rsidRPr="00091684">
        <w:rPr>
          <w:b/>
          <w:color w:val="FC5830" w:themeColor="accent4"/>
          <w:sz w:val="21"/>
          <w:szCs w:val="21"/>
        </w:rPr>
        <w:t xml:space="preserve">to the PSR Unit </w:t>
      </w:r>
      <w:r w:rsidRPr="00091684">
        <w:rPr>
          <w:b/>
          <w:color w:val="FC5830" w:themeColor="accent4"/>
          <w:sz w:val="21"/>
          <w:szCs w:val="21"/>
        </w:rPr>
        <w:t xml:space="preserve">by </w:t>
      </w:r>
      <w:r w:rsidR="00BE0523" w:rsidRPr="00091684">
        <w:rPr>
          <w:b/>
          <w:color w:val="FC5830" w:themeColor="accent4"/>
          <w:sz w:val="21"/>
          <w:szCs w:val="21"/>
        </w:rPr>
        <w:t>30 April</w:t>
      </w:r>
      <w:r w:rsidR="00121237" w:rsidRPr="00091684">
        <w:rPr>
          <w:b/>
          <w:color w:val="FC5830" w:themeColor="accent4"/>
          <w:sz w:val="21"/>
          <w:szCs w:val="21"/>
        </w:rPr>
        <w:t xml:space="preserve"> 2024</w:t>
      </w:r>
      <w:r w:rsidRPr="00091684">
        <w:rPr>
          <w:sz w:val="21"/>
          <w:szCs w:val="21"/>
        </w:rPr>
        <w:t>.</w:t>
      </w:r>
    </w:p>
    <w:p w:rsidR="00270266" w:rsidRPr="00091684" w:rsidRDefault="00270266" w:rsidP="00121237">
      <w:pPr>
        <w:jc w:val="both"/>
        <w:rPr>
          <w:sz w:val="21"/>
          <w:szCs w:val="21"/>
        </w:rPr>
      </w:pPr>
      <w:r w:rsidRPr="00091684">
        <w:rPr>
          <w:sz w:val="21"/>
          <w:szCs w:val="21"/>
        </w:rPr>
        <w:t>Moderation of your self-assessment improves the quality and accuracy of your reporting. As always, we encourage you to have your self-assessment moderated.</w:t>
      </w:r>
    </w:p>
    <w:p w:rsidR="000562DC" w:rsidRPr="00091684" w:rsidRDefault="00E42D90" w:rsidP="00121237">
      <w:pPr>
        <w:jc w:val="both"/>
        <w:rPr>
          <w:i/>
          <w:sz w:val="21"/>
          <w:szCs w:val="21"/>
        </w:rPr>
      </w:pPr>
      <w:r w:rsidRPr="00091684">
        <w:rPr>
          <w:i/>
          <w:sz w:val="21"/>
          <w:szCs w:val="21"/>
        </w:rPr>
        <w:t>Below is a summary</w:t>
      </w:r>
      <w:r w:rsidR="00606A42" w:rsidRPr="00091684">
        <w:rPr>
          <w:i/>
          <w:sz w:val="21"/>
          <w:szCs w:val="21"/>
        </w:rPr>
        <w:t xml:space="preserve"> </w:t>
      </w:r>
      <w:r w:rsidRPr="00091684">
        <w:rPr>
          <w:i/>
          <w:sz w:val="21"/>
          <w:szCs w:val="21"/>
        </w:rPr>
        <w:t>of what you need to know</w:t>
      </w:r>
      <w:r w:rsidR="00606A42" w:rsidRPr="00091684">
        <w:rPr>
          <w:i/>
          <w:sz w:val="21"/>
          <w:szCs w:val="21"/>
        </w:rPr>
        <w:t xml:space="preserve"> before you assess your capability</w:t>
      </w:r>
      <w:r w:rsidR="00FB6B5A" w:rsidRPr="00091684">
        <w:rPr>
          <w:i/>
          <w:sz w:val="21"/>
          <w:szCs w:val="21"/>
        </w:rPr>
        <w:t xml:space="preserve"> this round</w:t>
      </w:r>
      <w:r w:rsidRPr="00091684">
        <w:rPr>
          <w:i/>
          <w:sz w:val="21"/>
          <w:szCs w:val="21"/>
        </w:rPr>
        <w:t>.</w:t>
      </w:r>
      <w:r w:rsidR="00DD647C" w:rsidRPr="00091684">
        <w:rPr>
          <w:i/>
          <w:sz w:val="21"/>
          <w:szCs w:val="21"/>
        </w:rPr>
        <w:t xml:space="preserve"> New document templates and guides are available for download from the PSR website.</w:t>
      </w:r>
      <w:r w:rsidR="00B25EF6" w:rsidRPr="00091684">
        <w:rPr>
          <w:i/>
          <w:sz w:val="21"/>
          <w:szCs w:val="21"/>
        </w:rPr>
        <w:t xml:space="preserve"> </w:t>
      </w:r>
    </w:p>
    <w:p w:rsidR="00B33D05" w:rsidRDefault="00121237" w:rsidP="00B33D05">
      <w:pPr>
        <w:pStyle w:val="Heading1"/>
      </w:pPr>
      <w:r>
        <w:t>Minor changes to the 2023/24</w:t>
      </w:r>
      <w:r w:rsidR="00B33D05">
        <w:t xml:space="preserve"> Self-Assessment Report</w:t>
      </w:r>
    </w:p>
    <w:p w:rsidR="00B33D05" w:rsidRPr="00091684" w:rsidRDefault="00DD647C" w:rsidP="00496B71">
      <w:pPr>
        <w:jc w:val="both"/>
        <w:rPr>
          <w:sz w:val="21"/>
          <w:szCs w:val="21"/>
        </w:rPr>
      </w:pPr>
      <w:r w:rsidRPr="00091684">
        <w:rPr>
          <w:sz w:val="21"/>
          <w:szCs w:val="21"/>
        </w:rPr>
        <w:t>Based on your feedback w</w:t>
      </w:r>
      <w:r w:rsidR="00B33D05" w:rsidRPr="00091684">
        <w:rPr>
          <w:sz w:val="21"/>
          <w:szCs w:val="21"/>
        </w:rPr>
        <w:t>e h</w:t>
      </w:r>
      <w:r w:rsidR="00121237" w:rsidRPr="00091684">
        <w:rPr>
          <w:sz w:val="21"/>
          <w:szCs w:val="21"/>
        </w:rPr>
        <w:t>ave made some minor changes</w:t>
      </w:r>
      <w:r w:rsidR="00B33D05" w:rsidRPr="00091684">
        <w:rPr>
          <w:sz w:val="21"/>
          <w:szCs w:val="21"/>
        </w:rPr>
        <w:t xml:space="preserve"> to the current se</w:t>
      </w:r>
      <w:r w:rsidR="00121237" w:rsidRPr="00091684">
        <w:rPr>
          <w:sz w:val="21"/>
          <w:szCs w:val="21"/>
        </w:rPr>
        <w:t>lf-assessment reporting for 2023/24</w:t>
      </w:r>
      <w:r w:rsidR="00B33D05" w:rsidRPr="00091684">
        <w:rPr>
          <w:sz w:val="21"/>
          <w:szCs w:val="21"/>
        </w:rPr>
        <w:t>. The changes are aimed to reduce duplication, make it easier to understand what and how to report, and enable greater reporting consistency across agencies. We have made the following changes</w:t>
      </w:r>
      <w:r w:rsidRPr="00091684">
        <w:rPr>
          <w:sz w:val="21"/>
          <w:szCs w:val="21"/>
        </w:rPr>
        <w:t>:</w:t>
      </w:r>
    </w:p>
    <w:p w:rsidR="00496B71" w:rsidRPr="00091684" w:rsidRDefault="001466EB" w:rsidP="00091684">
      <w:pPr>
        <w:keepNext/>
        <w:jc w:val="both"/>
        <w:rPr>
          <w:b/>
          <w:sz w:val="21"/>
          <w:szCs w:val="21"/>
        </w:rPr>
      </w:pPr>
      <w:r>
        <w:rPr>
          <w:b/>
          <w:sz w:val="21"/>
          <w:szCs w:val="21"/>
        </w:rPr>
        <w:t>There is</w:t>
      </w:r>
      <w:r w:rsidR="00496B71" w:rsidRPr="00091684">
        <w:rPr>
          <w:b/>
          <w:sz w:val="21"/>
          <w:szCs w:val="21"/>
        </w:rPr>
        <w:t xml:space="preserve"> a new set of INFOSEC questions that have been incorporated into the relevant mandatory requirement sections.</w:t>
      </w:r>
    </w:p>
    <w:p w:rsidR="00496B71" w:rsidRPr="00091684" w:rsidRDefault="00496B71" w:rsidP="00091684">
      <w:pPr>
        <w:jc w:val="both"/>
        <w:rPr>
          <w:sz w:val="21"/>
          <w:szCs w:val="21"/>
        </w:rPr>
      </w:pPr>
      <w:r w:rsidRPr="00091684">
        <w:rPr>
          <w:sz w:val="21"/>
          <w:szCs w:val="21"/>
        </w:rPr>
        <w:t xml:space="preserve">The separate INFOSEC questions have been reviewed and updated by the National Cyber Security Centre. The updated questions are still integrated directly into the relevant mandatory requirements sections which are designed to specifically elicit the evidence needed this year. </w:t>
      </w:r>
    </w:p>
    <w:p w:rsidR="00496B71" w:rsidRPr="00091684" w:rsidRDefault="00496B71" w:rsidP="00091684">
      <w:pPr>
        <w:jc w:val="both"/>
        <w:rPr>
          <w:b/>
          <w:sz w:val="21"/>
          <w:szCs w:val="21"/>
        </w:rPr>
      </w:pPr>
      <w:r w:rsidRPr="00091684">
        <w:rPr>
          <w:b/>
          <w:sz w:val="21"/>
          <w:szCs w:val="21"/>
        </w:rPr>
        <w:t>The PSR Self-Assessment Report Template (MS Word) has been</w:t>
      </w:r>
      <w:r w:rsidR="002D75E2">
        <w:rPr>
          <w:b/>
          <w:sz w:val="21"/>
          <w:szCs w:val="21"/>
        </w:rPr>
        <w:t xml:space="preserve"> updated with key changes</w:t>
      </w:r>
      <w:r w:rsidRPr="00091684">
        <w:rPr>
          <w:b/>
          <w:sz w:val="21"/>
          <w:szCs w:val="21"/>
        </w:rPr>
        <w:t>. Your self-assessment must be submitted via email.  The online portal is</w:t>
      </w:r>
      <w:r w:rsidR="002D75E2">
        <w:rPr>
          <w:b/>
          <w:sz w:val="21"/>
          <w:szCs w:val="21"/>
        </w:rPr>
        <w:t xml:space="preserve"> still </w:t>
      </w:r>
      <w:r w:rsidR="002D75E2" w:rsidRPr="00091684">
        <w:rPr>
          <w:b/>
          <w:sz w:val="21"/>
          <w:szCs w:val="21"/>
        </w:rPr>
        <w:t>not</w:t>
      </w:r>
      <w:r w:rsidRPr="00091684">
        <w:rPr>
          <w:b/>
          <w:sz w:val="21"/>
          <w:szCs w:val="21"/>
        </w:rPr>
        <w:t xml:space="preserve"> available. </w:t>
      </w:r>
    </w:p>
    <w:p w:rsidR="00496B71" w:rsidRPr="00091684" w:rsidRDefault="00496B71" w:rsidP="00091684">
      <w:pPr>
        <w:jc w:val="both"/>
        <w:rPr>
          <w:sz w:val="21"/>
          <w:szCs w:val="21"/>
        </w:rPr>
      </w:pPr>
      <w:r w:rsidRPr="00091684">
        <w:rPr>
          <w:sz w:val="21"/>
          <w:szCs w:val="21"/>
        </w:rPr>
        <w:t xml:space="preserve">The updated PSR Self-Assessment Report Template includes </w:t>
      </w:r>
      <w:r w:rsidR="00091684" w:rsidRPr="00091684">
        <w:rPr>
          <w:sz w:val="21"/>
          <w:szCs w:val="21"/>
        </w:rPr>
        <w:t xml:space="preserve">formatting updates, </w:t>
      </w:r>
      <w:r w:rsidR="00091684" w:rsidRPr="00091684">
        <w:rPr>
          <w:rFonts w:cs="Open Sans"/>
          <w:sz w:val="21"/>
          <w:szCs w:val="21"/>
        </w:rPr>
        <w:t>the addition of targeted questions</w:t>
      </w:r>
      <w:r w:rsidR="00091684" w:rsidRPr="00091684">
        <w:rPr>
          <w:sz w:val="21"/>
          <w:szCs w:val="21"/>
        </w:rPr>
        <w:t xml:space="preserve"> </w:t>
      </w:r>
      <w:r w:rsidR="001466EB">
        <w:rPr>
          <w:rFonts w:cs="Open Sans"/>
          <w:sz w:val="21"/>
          <w:szCs w:val="21"/>
        </w:rPr>
        <w:t>on t</w:t>
      </w:r>
      <w:r w:rsidR="00091684" w:rsidRPr="00091684">
        <w:rPr>
          <w:rFonts w:cs="Open Sans"/>
          <w:sz w:val="21"/>
          <w:szCs w:val="21"/>
        </w:rPr>
        <w:t xml:space="preserve">he Classification Policy (INFOSEC 2) and the new MBIE Procurement Guidelines (GOV 5), </w:t>
      </w:r>
      <w:r w:rsidR="00091684" w:rsidRPr="00091684">
        <w:rPr>
          <w:sz w:val="21"/>
          <w:szCs w:val="21"/>
        </w:rPr>
        <w:t xml:space="preserve">additional </w:t>
      </w:r>
      <w:r w:rsidRPr="00091684">
        <w:rPr>
          <w:sz w:val="21"/>
          <w:szCs w:val="21"/>
        </w:rPr>
        <w:t xml:space="preserve">instructions, and </w:t>
      </w:r>
      <w:r w:rsidR="00091684" w:rsidRPr="00091684">
        <w:rPr>
          <w:sz w:val="21"/>
          <w:szCs w:val="21"/>
        </w:rPr>
        <w:t xml:space="preserve">an optional </w:t>
      </w:r>
      <w:hyperlink r:id="rId9" w:history="1">
        <w:r w:rsidR="00091684" w:rsidRPr="00CA67DD">
          <w:rPr>
            <w:rStyle w:val="Hyperlink"/>
            <w:color w:val="004462" w:themeColor="accent2" w:themeShade="BF"/>
            <w:sz w:val="21"/>
            <w:szCs w:val="21"/>
          </w:rPr>
          <w:t>excel spreadsheet</w:t>
        </w:r>
      </w:hyperlink>
      <w:r w:rsidR="00091684" w:rsidRPr="00091684">
        <w:rPr>
          <w:sz w:val="21"/>
          <w:szCs w:val="21"/>
        </w:rPr>
        <w:t xml:space="preserve"> for recording policy documentation.</w:t>
      </w:r>
      <w:r w:rsidRPr="00091684">
        <w:rPr>
          <w:sz w:val="21"/>
          <w:szCs w:val="21"/>
        </w:rPr>
        <w:t xml:space="preserve"> </w:t>
      </w:r>
    </w:p>
    <w:p w:rsidR="00091684" w:rsidRDefault="00496B71" w:rsidP="00091684">
      <w:pPr>
        <w:jc w:val="both"/>
        <w:rPr>
          <w:sz w:val="21"/>
          <w:szCs w:val="21"/>
        </w:rPr>
      </w:pPr>
      <w:r w:rsidRPr="00091684">
        <w:rPr>
          <w:i/>
          <w:sz w:val="21"/>
          <w:szCs w:val="21"/>
        </w:rPr>
        <w:t>Importantly,</w:t>
      </w:r>
      <w:r w:rsidRPr="00091684">
        <w:rPr>
          <w:sz w:val="21"/>
          <w:szCs w:val="21"/>
        </w:rPr>
        <w:t xml:space="preserve"> </w:t>
      </w:r>
      <w:r w:rsidRPr="00091684">
        <w:rPr>
          <w:i/>
          <w:sz w:val="21"/>
          <w:szCs w:val="21"/>
        </w:rPr>
        <w:t>the online portal will</w:t>
      </w:r>
      <w:r w:rsidR="00091684" w:rsidRPr="00091684">
        <w:rPr>
          <w:i/>
          <w:sz w:val="21"/>
          <w:szCs w:val="21"/>
        </w:rPr>
        <w:t xml:space="preserve"> still</w:t>
      </w:r>
      <w:r w:rsidRPr="00091684">
        <w:rPr>
          <w:i/>
          <w:sz w:val="21"/>
          <w:szCs w:val="21"/>
        </w:rPr>
        <w:t xml:space="preserve"> no</w:t>
      </w:r>
      <w:r w:rsidR="00091684" w:rsidRPr="00091684">
        <w:rPr>
          <w:i/>
          <w:sz w:val="21"/>
          <w:szCs w:val="21"/>
        </w:rPr>
        <w:t>t be used for submission of 2023/24</w:t>
      </w:r>
      <w:r w:rsidRPr="00091684">
        <w:rPr>
          <w:i/>
          <w:sz w:val="21"/>
          <w:szCs w:val="21"/>
        </w:rPr>
        <w:t xml:space="preserve"> reports. </w:t>
      </w:r>
      <w:r w:rsidRPr="00091684">
        <w:rPr>
          <w:sz w:val="21"/>
          <w:szCs w:val="21"/>
        </w:rPr>
        <w:t>Please use the MS Word template to complete your self-assessment and for reports at RESTRICTED and below submit this via email to the PSR Unit</w:t>
      </w:r>
      <w:r w:rsidR="00091684" w:rsidRPr="00091684">
        <w:rPr>
          <w:sz w:val="21"/>
          <w:szCs w:val="21"/>
        </w:rPr>
        <w:t xml:space="preserve"> via </w:t>
      </w:r>
      <w:hyperlink r:id="rId10" w:history="1">
        <w:r w:rsidR="00091684" w:rsidRPr="00091684">
          <w:rPr>
            <w:rStyle w:val="Hyperlink"/>
            <w:sz w:val="21"/>
            <w:szCs w:val="21"/>
          </w:rPr>
          <w:t>psr@protectivesecurity.govt.nz</w:t>
        </w:r>
      </w:hyperlink>
      <w:r w:rsidR="00091684" w:rsidRPr="00091684">
        <w:rPr>
          <w:sz w:val="21"/>
          <w:szCs w:val="21"/>
        </w:rPr>
        <w:t xml:space="preserve">. </w:t>
      </w:r>
    </w:p>
    <w:p w:rsidR="0041338E" w:rsidRDefault="0041338E" w:rsidP="00091684">
      <w:pPr>
        <w:jc w:val="both"/>
        <w:rPr>
          <w:b/>
          <w:sz w:val="21"/>
          <w:szCs w:val="21"/>
        </w:rPr>
      </w:pPr>
    </w:p>
    <w:p w:rsidR="00091684" w:rsidRPr="00091684" w:rsidRDefault="00091684" w:rsidP="00091684">
      <w:pPr>
        <w:jc w:val="both"/>
        <w:rPr>
          <w:b/>
          <w:sz w:val="21"/>
          <w:szCs w:val="21"/>
        </w:rPr>
      </w:pPr>
      <w:r w:rsidRPr="00091684">
        <w:rPr>
          <w:b/>
          <w:sz w:val="21"/>
          <w:szCs w:val="21"/>
        </w:rPr>
        <w:t>The “How To” Guide has been updated with examples of what good evidence looks like.</w:t>
      </w:r>
    </w:p>
    <w:p w:rsidR="00091684" w:rsidRPr="00091684" w:rsidRDefault="00091684" w:rsidP="00091684">
      <w:pPr>
        <w:jc w:val="both"/>
        <w:rPr>
          <w:sz w:val="21"/>
          <w:szCs w:val="21"/>
        </w:rPr>
      </w:pPr>
      <w:r w:rsidRPr="00091684">
        <w:rPr>
          <w:sz w:val="21"/>
          <w:szCs w:val="21"/>
        </w:rPr>
        <w:t>The guide was produced last year to demonstrate what is required to evidence the policy and practice for mandatory requirements. It provides real world anonymised examples. Combined with the updated PSR Self-Assessment Report Template, these tools should allow you to better understand what good evidence looks like. It should also improve consistency of reporting across agencies. This year it has been updated to align with the minor changes to the reporting template, and provide another model example in INFOSEC to reflect the change in the question set.</w:t>
      </w:r>
    </w:p>
    <w:p w:rsidR="00091684" w:rsidRDefault="00091684" w:rsidP="00091684">
      <w:pPr>
        <w:pStyle w:val="Heading1"/>
      </w:pPr>
      <w:r>
        <w:t>What hasn’t changed?</w:t>
      </w:r>
    </w:p>
    <w:p w:rsidR="00B33D05" w:rsidRPr="006E1E0A" w:rsidRDefault="00B33D05" w:rsidP="00091684">
      <w:pPr>
        <w:jc w:val="both"/>
        <w:rPr>
          <w:sz w:val="21"/>
          <w:szCs w:val="21"/>
        </w:rPr>
      </w:pPr>
      <w:r w:rsidRPr="006E1E0A">
        <w:rPr>
          <w:b/>
          <w:sz w:val="21"/>
          <w:szCs w:val="21"/>
        </w:rPr>
        <w:t>The C</w:t>
      </w:r>
      <w:r w:rsidR="00DD647C" w:rsidRPr="006E1E0A">
        <w:rPr>
          <w:b/>
          <w:sz w:val="21"/>
          <w:szCs w:val="21"/>
        </w:rPr>
        <w:t xml:space="preserve">apability </w:t>
      </w:r>
      <w:r w:rsidRPr="006E1E0A">
        <w:rPr>
          <w:b/>
          <w:sz w:val="21"/>
          <w:szCs w:val="21"/>
        </w:rPr>
        <w:t>M</w:t>
      </w:r>
      <w:r w:rsidR="00DD647C" w:rsidRPr="006E1E0A">
        <w:rPr>
          <w:b/>
          <w:sz w:val="21"/>
          <w:szCs w:val="21"/>
        </w:rPr>
        <w:t xml:space="preserve">aturity </w:t>
      </w:r>
      <w:r w:rsidRPr="006E1E0A">
        <w:rPr>
          <w:b/>
          <w:sz w:val="21"/>
          <w:szCs w:val="21"/>
        </w:rPr>
        <w:t>M</w:t>
      </w:r>
      <w:r w:rsidR="00DD647C" w:rsidRPr="006E1E0A">
        <w:rPr>
          <w:b/>
          <w:sz w:val="21"/>
          <w:szCs w:val="21"/>
        </w:rPr>
        <w:t>odel (CMM)</w:t>
      </w:r>
      <w:r w:rsidRPr="006E1E0A">
        <w:rPr>
          <w:b/>
          <w:sz w:val="21"/>
          <w:szCs w:val="21"/>
        </w:rPr>
        <w:t xml:space="preserve"> assessment section of the PSR Self-Assessment Report Template </w:t>
      </w:r>
      <w:r w:rsidR="00091684" w:rsidRPr="006E1E0A">
        <w:rPr>
          <w:b/>
          <w:sz w:val="21"/>
          <w:szCs w:val="21"/>
        </w:rPr>
        <w:t xml:space="preserve">is still in </w:t>
      </w:r>
      <w:r w:rsidRPr="006E1E0A">
        <w:rPr>
          <w:b/>
          <w:sz w:val="21"/>
          <w:szCs w:val="21"/>
        </w:rPr>
        <w:t>a separate Capability Maturity Assessment Template</w:t>
      </w:r>
      <w:r w:rsidRPr="006E1E0A">
        <w:rPr>
          <w:sz w:val="21"/>
          <w:szCs w:val="21"/>
        </w:rPr>
        <w:t>.</w:t>
      </w:r>
    </w:p>
    <w:p w:rsidR="00B33D05" w:rsidRPr="006E1E0A" w:rsidRDefault="00B33D05" w:rsidP="00091684">
      <w:pPr>
        <w:jc w:val="both"/>
        <w:rPr>
          <w:sz w:val="21"/>
          <w:szCs w:val="21"/>
        </w:rPr>
      </w:pPr>
      <w:r w:rsidRPr="006E1E0A">
        <w:rPr>
          <w:sz w:val="21"/>
          <w:szCs w:val="21"/>
        </w:rPr>
        <w:t>The Capability Maturity Assessment Template is for your agency’s internal use when you undertake your CMM assessment.</w:t>
      </w:r>
      <w:r w:rsidR="00DD647C" w:rsidRPr="006E1E0A">
        <w:rPr>
          <w:sz w:val="21"/>
          <w:szCs w:val="21"/>
        </w:rPr>
        <w:t xml:space="preserve"> Y</w:t>
      </w:r>
      <w:r w:rsidRPr="006E1E0A">
        <w:rPr>
          <w:sz w:val="21"/>
          <w:szCs w:val="21"/>
        </w:rPr>
        <w:t xml:space="preserve">ou must </w:t>
      </w:r>
      <w:r w:rsidR="00572025" w:rsidRPr="006E1E0A">
        <w:rPr>
          <w:sz w:val="21"/>
          <w:szCs w:val="21"/>
        </w:rPr>
        <w:t xml:space="preserve">still </w:t>
      </w:r>
      <w:r w:rsidRPr="006E1E0A">
        <w:rPr>
          <w:sz w:val="21"/>
          <w:szCs w:val="21"/>
        </w:rPr>
        <w:t xml:space="preserve">undertake this capability assessment and summarise your findings in your self-assessment report, </w:t>
      </w:r>
      <w:r w:rsidR="00DD647C" w:rsidRPr="006E1E0A">
        <w:rPr>
          <w:sz w:val="21"/>
          <w:szCs w:val="21"/>
        </w:rPr>
        <w:t xml:space="preserve">however </w:t>
      </w:r>
      <w:r w:rsidRPr="006E1E0A">
        <w:rPr>
          <w:sz w:val="21"/>
          <w:szCs w:val="21"/>
        </w:rPr>
        <w:t xml:space="preserve">you will not need to provide the detailed evidence in your self-assessment report. This will reduce some of the duplication you </w:t>
      </w:r>
      <w:r w:rsidR="00DD647C" w:rsidRPr="006E1E0A">
        <w:rPr>
          <w:sz w:val="21"/>
          <w:szCs w:val="21"/>
        </w:rPr>
        <w:t xml:space="preserve">have </w:t>
      </w:r>
      <w:r w:rsidRPr="006E1E0A">
        <w:rPr>
          <w:sz w:val="21"/>
          <w:szCs w:val="21"/>
        </w:rPr>
        <w:t>experience</w:t>
      </w:r>
      <w:r w:rsidR="00DD647C" w:rsidRPr="006E1E0A">
        <w:rPr>
          <w:sz w:val="21"/>
          <w:szCs w:val="21"/>
        </w:rPr>
        <w:t>d</w:t>
      </w:r>
      <w:r w:rsidRPr="006E1E0A">
        <w:rPr>
          <w:sz w:val="21"/>
          <w:szCs w:val="21"/>
        </w:rPr>
        <w:t xml:space="preserve"> when reporting.</w:t>
      </w:r>
      <w:r w:rsidR="00091684" w:rsidRPr="006E1E0A">
        <w:rPr>
          <w:sz w:val="21"/>
          <w:szCs w:val="21"/>
        </w:rPr>
        <w:t xml:space="preserve"> You do not need to submit this.</w:t>
      </w:r>
    </w:p>
    <w:p w:rsidR="00B33D05" w:rsidRDefault="00121237" w:rsidP="00B33D05">
      <w:pPr>
        <w:pStyle w:val="Heading1"/>
      </w:pPr>
      <w:r>
        <w:t>PSR Forum – 2023/24</w:t>
      </w:r>
      <w:r w:rsidR="00B33D05">
        <w:t xml:space="preserve"> Self</w:t>
      </w:r>
      <w:r w:rsidR="00572025">
        <w:t>-</w:t>
      </w:r>
      <w:r w:rsidR="00B33D05">
        <w:t>Assessment Reporting</w:t>
      </w:r>
    </w:p>
    <w:p w:rsidR="00121237" w:rsidRPr="006E1E0A" w:rsidRDefault="00B33D05" w:rsidP="006E1E0A">
      <w:pPr>
        <w:jc w:val="both"/>
        <w:rPr>
          <w:sz w:val="21"/>
          <w:szCs w:val="21"/>
        </w:rPr>
      </w:pPr>
      <w:r w:rsidRPr="006E1E0A">
        <w:rPr>
          <w:sz w:val="21"/>
          <w:szCs w:val="21"/>
        </w:rPr>
        <w:t>We h</w:t>
      </w:r>
      <w:r w:rsidR="00BA14EB" w:rsidRPr="006E1E0A">
        <w:rPr>
          <w:sz w:val="21"/>
          <w:szCs w:val="21"/>
        </w:rPr>
        <w:t>e</w:t>
      </w:r>
      <w:r w:rsidRPr="006E1E0A">
        <w:rPr>
          <w:sz w:val="21"/>
          <w:szCs w:val="21"/>
        </w:rPr>
        <w:t xml:space="preserve">ld </w:t>
      </w:r>
      <w:r w:rsidR="00121237" w:rsidRPr="006E1E0A">
        <w:rPr>
          <w:sz w:val="21"/>
          <w:szCs w:val="21"/>
        </w:rPr>
        <w:t>a PSR Forum on Wednesday 11 October</w:t>
      </w:r>
      <w:r w:rsidR="00BA14EB" w:rsidRPr="006E1E0A">
        <w:rPr>
          <w:sz w:val="21"/>
          <w:szCs w:val="21"/>
        </w:rPr>
        <w:t xml:space="preserve"> </w:t>
      </w:r>
      <w:r w:rsidRPr="006E1E0A">
        <w:rPr>
          <w:sz w:val="21"/>
          <w:szCs w:val="21"/>
        </w:rPr>
        <w:t xml:space="preserve">to discuss </w:t>
      </w:r>
      <w:r w:rsidR="00121237" w:rsidRPr="006E1E0A">
        <w:rPr>
          <w:sz w:val="21"/>
          <w:szCs w:val="21"/>
        </w:rPr>
        <w:t xml:space="preserve">the system insights from the 2022/23 assurance round and </w:t>
      </w:r>
      <w:r w:rsidRPr="006E1E0A">
        <w:rPr>
          <w:sz w:val="21"/>
          <w:szCs w:val="21"/>
        </w:rPr>
        <w:t>specifically what you</w:t>
      </w:r>
      <w:r w:rsidR="0044430A" w:rsidRPr="006E1E0A">
        <w:rPr>
          <w:sz w:val="21"/>
          <w:szCs w:val="21"/>
        </w:rPr>
        <w:t xml:space="preserve"> would</w:t>
      </w:r>
      <w:r w:rsidR="00121237" w:rsidRPr="006E1E0A">
        <w:rPr>
          <w:sz w:val="21"/>
          <w:szCs w:val="21"/>
        </w:rPr>
        <w:t xml:space="preserve"> need to know for the next </w:t>
      </w:r>
      <w:r w:rsidRPr="006E1E0A">
        <w:rPr>
          <w:sz w:val="21"/>
          <w:szCs w:val="21"/>
        </w:rPr>
        <w:t>PSR self-assessment round</w:t>
      </w:r>
      <w:r w:rsidR="00091684" w:rsidRPr="006E1E0A">
        <w:rPr>
          <w:sz w:val="21"/>
          <w:szCs w:val="21"/>
        </w:rPr>
        <w:t>. Also</w:t>
      </w:r>
      <w:r w:rsidR="00F123F5" w:rsidRPr="006E1E0A">
        <w:rPr>
          <w:sz w:val="21"/>
          <w:szCs w:val="21"/>
        </w:rPr>
        <w:t xml:space="preserve"> discussed was the next phase of the PSR Assurance Project and how agencies can have a role in the redesign.</w:t>
      </w:r>
    </w:p>
    <w:p w:rsidR="00B33D05" w:rsidRPr="006E1E0A" w:rsidRDefault="00BA14EB" w:rsidP="006E1E0A">
      <w:pPr>
        <w:jc w:val="both"/>
        <w:rPr>
          <w:sz w:val="21"/>
          <w:szCs w:val="21"/>
        </w:rPr>
      </w:pPr>
      <w:r w:rsidRPr="006E1E0A">
        <w:rPr>
          <w:sz w:val="21"/>
          <w:szCs w:val="21"/>
        </w:rPr>
        <w:t>The briefing was held at RESTRICTED</w:t>
      </w:r>
      <w:r w:rsidR="0044430A" w:rsidRPr="006E1E0A">
        <w:rPr>
          <w:sz w:val="21"/>
          <w:szCs w:val="21"/>
        </w:rPr>
        <w:t xml:space="preserve"> at Defence House</w:t>
      </w:r>
      <w:r w:rsidRPr="006E1E0A">
        <w:rPr>
          <w:sz w:val="21"/>
          <w:szCs w:val="21"/>
        </w:rPr>
        <w:t>.</w:t>
      </w:r>
    </w:p>
    <w:p w:rsidR="00E42D90" w:rsidRDefault="00572025" w:rsidP="009716ED">
      <w:pPr>
        <w:pStyle w:val="Heading1"/>
        <w:jc w:val="both"/>
      </w:pPr>
      <w:r>
        <w:t xml:space="preserve">Looking ahead: </w:t>
      </w:r>
      <w:r w:rsidR="009716ED">
        <w:t>PSR Assurance Project – Objective and Design Principles</w:t>
      </w:r>
    </w:p>
    <w:p w:rsidR="009716ED" w:rsidRPr="009716ED" w:rsidRDefault="009716ED" w:rsidP="009716ED">
      <w:pPr>
        <w:jc w:val="both"/>
        <w:rPr>
          <w:sz w:val="21"/>
          <w:szCs w:val="21"/>
        </w:rPr>
      </w:pPr>
      <w:r w:rsidRPr="009716ED">
        <w:rPr>
          <w:sz w:val="21"/>
          <w:szCs w:val="21"/>
        </w:rPr>
        <w:t xml:space="preserve">The PSR assurance framework is intended to support agencies to manage their security risks and to provide assurance to Chief Executives, Government Protective Security Lead, Government Chief Information Security Officer and wider Government Leaders. </w:t>
      </w:r>
    </w:p>
    <w:p w:rsidR="009716ED" w:rsidRPr="009716ED" w:rsidRDefault="009716ED" w:rsidP="00E42D90">
      <w:pPr>
        <w:rPr>
          <w:b/>
          <w:sz w:val="21"/>
          <w:szCs w:val="21"/>
        </w:rPr>
      </w:pPr>
      <w:r w:rsidRPr="009716ED">
        <w:rPr>
          <w:b/>
          <w:sz w:val="21"/>
          <w:szCs w:val="21"/>
        </w:rPr>
        <w:t>It should help agencies to:</w:t>
      </w:r>
    </w:p>
    <w:p w:rsidR="009716ED" w:rsidRPr="009716ED" w:rsidRDefault="009716ED" w:rsidP="009716ED">
      <w:pPr>
        <w:numPr>
          <w:ilvl w:val="0"/>
          <w:numId w:val="11"/>
        </w:numPr>
        <w:rPr>
          <w:sz w:val="21"/>
          <w:szCs w:val="21"/>
        </w:rPr>
      </w:pPr>
      <w:r w:rsidRPr="009716ED">
        <w:rPr>
          <w:sz w:val="21"/>
          <w:szCs w:val="21"/>
        </w:rPr>
        <w:t>Identify protective security risks</w:t>
      </w:r>
    </w:p>
    <w:p w:rsidR="009716ED" w:rsidRPr="009716ED" w:rsidRDefault="009716ED" w:rsidP="009716ED">
      <w:pPr>
        <w:numPr>
          <w:ilvl w:val="0"/>
          <w:numId w:val="11"/>
        </w:numPr>
        <w:rPr>
          <w:sz w:val="21"/>
          <w:szCs w:val="21"/>
        </w:rPr>
      </w:pPr>
      <w:r w:rsidRPr="009716ED">
        <w:rPr>
          <w:sz w:val="21"/>
          <w:szCs w:val="21"/>
        </w:rPr>
        <w:t>Assess how well they are managing those risks</w:t>
      </w:r>
    </w:p>
    <w:p w:rsidR="009716ED" w:rsidRPr="009716ED" w:rsidRDefault="009716ED" w:rsidP="009716ED">
      <w:pPr>
        <w:numPr>
          <w:ilvl w:val="0"/>
          <w:numId w:val="11"/>
        </w:numPr>
        <w:rPr>
          <w:sz w:val="21"/>
          <w:szCs w:val="21"/>
        </w:rPr>
      </w:pPr>
      <w:r w:rsidRPr="009716ED">
        <w:rPr>
          <w:sz w:val="21"/>
          <w:szCs w:val="21"/>
        </w:rPr>
        <w:t>Make decisions on where to invest their marginal dollar</w:t>
      </w:r>
    </w:p>
    <w:p w:rsidR="009716ED" w:rsidRDefault="009716ED" w:rsidP="00E42D90">
      <w:pPr>
        <w:numPr>
          <w:ilvl w:val="0"/>
          <w:numId w:val="11"/>
        </w:numPr>
        <w:rPr>
          <w:sz w:val="21"/>
          <w:szCs w:val="21"/>
        </w:rPr>
      </w:pPr>
      <w:r w:rsidRPr="009716ED">
        <w:rPr>
          <w:sz w:val="21"/>
          <w:szCs w:val="21"/>
        </w:rPr>
        <w:t>Provide insights into organisation and system-level performance and gaps.</w:t>
      </w:r>
    </w:p>
    <w:p w:rsidR="009716ED" w:rsidRPr="009716ED" w:rsidRDefault="009716ED" w:rsidP="009716ED">
      <w:pPr>
        <w:jc w:val="both"/>
        <w:rPr>
          <w:sz w:val="21"/>
          <w:szCs w:val="21"/>
        </w:rPr>
      </w:pPr>
      <w:r w:rsidRPr="009716ED">
        <w:rPr>
          <w:sz w:val="21"/>
          <w:szCs w:val="21"/>
        </w:rPr>
        <w:t>We have developed the design principles based on what you said you needed from any change.  So this is how we will measure the success of the change.</w:t>
      </w:r>
    </w:p>
    <w:p w:rsidR="009716ED" w:rsidRPr="009716ED" w:rsidRDefault="009716ED" w:rsidP="009716ED">
      <w:pPr>
        <w:numPr>
          <w:ilvl w:val="0"/>
          <w:numId w:val="11"/>
        </w:numPr>
        <w:jc w:val="both"/>
        <w:rPr>
          <w:sz w:val="21"/>
          <w:szCs w:val="21"/>
        </w:rPr>
      </w:pPr>
      <w:r w:rsidRPr="009716ED">
        <w:rPr>
          <w:b/>
          <w:bCs/>
          <w:sz w:val="21"/>
          <w:szCs w:val="21"/>
        </w:rPr>
        <w:t>Robust</w:t>
      </w:r>
      <w:r w:rsidRPr="009716ED">
        <w:rPr>
          <w:sz w:val="21"/>
          <w:szCs w:val="21"/>
        </w:rPr>
        <w:t xml:space="preserve"> – it will be </w:t>
      </w:r>
      <w:r w:rsidRPr="009716ED">
        <w:rPr>
          <w:sz w:val="21"/>
          <w:szCs w:val="21"/>
          <w:u w:val="single"/>
        </w:rPr>
        <w:t>rigorous</w:t>
      </w:r>
      <w:r w:rsidRPr="009716ED">
        <w:rPr>
          <w:sz w:val="21"/>
          <w:szCs w:val="21"/>
        </w:rPr>
        <w:t xml:space="preserve">, positioning you to effectively manage your risks; it will be </w:t>
      </w:r>
      <w:r w:rsidRPr="009716ED">
        <w:rPr>
          <w:sz w:val="21"/>
          <w:szCs w:val="21"/>
          <w:u w:val="single"/>
        </w:rPr>
        <w:t>risk-based</w:t>
      </w:r>
      <w:r w:rsidRPr="009716ED">
        <w:rPr>
          <w:sz w:val="21"/>
          <w:szCs w:val="21"/>
        </w:rPr>
        <w:t xml:space="preserve"> and work for agencies of any size or risk, it will be </w:t>
      </w:r>
      <w:r w:rsidRPr="009716ED">
        <w:rPr>
          <w:sz w:val="21"/>
          <w:szCs w:val="21"/>
          <w:u w:val="single"/>
        </w:rPr>
        <w:t xml:space="preserve">reliable </w:t>
      </w:r>
      <w:r w:rsidRPr="009716ED">
        <w:rPr>
          <w:sz w:val="21"/>
          <w:szCs w:val="21"/>
        </w:rPr>
        <w:t xml:space="preserve">and produce results that can be trusted, and </w:t>
      </w:r>
      <w:r w:rsidRPr="009716ED">
        <w:rPr>
          <w:sz w:val="21"/>
          <w:szCs w:val="21"/>
          <w:u w:val="single"/>
        </w:rPr>
        <w:t xml:space="preserve">future focused </w:t>
      </w:r>
      <w:r w:rsidRPr="009716ED">
        <w:rPr>
          <w:sz w:val="21"/>
          <w:szCs w:val="21"/>
        </w:rPr>
        <w:t>– positions the framework for the future</w:t>
      </w:r>
    </w:p>
    <w:p w:rsidR="009716ED" w:rsidRPr="009716ED" w:rsidRDefault="009716ED" w:rsidP="009716ED">
      <w:pPr>
        <w:numPr>
          <w:ilvl w:val="0"/>
          <w:numId w:val="11"/>
        </w:numPr>
        <w:jc w:val="both"/>
        <w:rPr>
          <w:sz w:val="21"/>
          <w:szCs w:val="21"/>
        </w:rPr>
      </w:pPr>
      <w:r w:rsidRPr="009716ED">
        <w:rPr>
          <w:b/>
          <w:bCs/>
          <w:sz w:val="21"/>
          <w:szCs w:val="21"/>
        </w:rPr>
        <w:t xml:space="preserve">Easy to use </w:t>
      </w:r>
      <w:r w:rsidRPr="009716ED">
        <w:rPr>
          <w:sz w:val="21"/>
          <w:szCs w:val="21"/>
        </w:rPr>
        <w:t xml:space="preserve">– it will be </w:t>
      </w:r>
      <w:r w:rsidRPr="009716ED">
        <w:rPr>
          <w:sz w:val="21"/>
          <w:szCs w:val="21"/>
          <w:u w:val="single"/>
        </w:rPr>
        <w:t>clear</w:t>
      </w:r>
      <w:r w:rsidRPr="009716ED">
        <w:rPr>
          <w:sz w:val="21"/>
          <w:szCs w:val="21"/>
        </w:rPr>
        <w:t xml:space="preserve"> – articulates what the requirements are and what good looks like; it is </w:t>
      </w:r>
      <w:r w:rsidRPr="009716ED">
        <w:rPr>
          <w:sz w:val="21"/>
          <w:szCs w:val="21"/>
          <w:u w:val="single"/>
        </w:rPr>
        <w:t xml:space="preserve">efficient and effective </w:t>
      </w:r>
      <w:r w:rsidRPr="009716ED">
        <w:rPr>
          <w:sz w:val="21"/>
          <w:szCs w:val="21"/>
        </w:rPr>
        <w:t>eliminating duplication, improving objectivity, and streamlines the process.</w:t>
      </w:r>
    </w:p>
    <w:p w:rsidR="009716ED" w:rsidRPr="009716ED" w:rsidRDefault="009716ED" w:rsidP="009716ED">
      <w:pPr>
        <w:numPr>
          <w:ilvl w:val="0"/>
          <w:numId w:val="11"/>
        </w:numPr>
        <w:jc w:val="both"/>
        <w:rPr>
          <w:sz w:val="21"/>
          <w:szCs w:val="21"/>
        </w:rPr>
      </w:pPr>
      <w:r w:rsidRPr="009716ED">
        <w:rPr>
          <w:b/>
          <w:bCs/>
          <w:sz w:val="21"/>
          <w:szCs w:val="21"/>
        </w:rPr>
        <w:t>Actionable</w:t>
      </w:r>
      <w:r w:rsidRPr="009716ED">
        <w:rPr>
          <w:sz w:val="21"/>
          <w:szCs w:val="21"/>
        </w:rPr>
        <w:t xml:space="preserve"> – it is about the efficient and effective collection, analysis, and reporting of relevant qualitative (narrative) information and quantitative (measurable) information and the process provides meaningful insights that agencies can use to self-reflect and prioritise their efforts to address their largest risks. It will provide useful insights at the system-level that can help shape our PSR work programme to lift capability in the highest priority areas.</w:t>
      </w:r>
    </w:p>
    <w:p w:rsidR="009716ED" w:rsidRDefault="009716ED" w:rsidP="009716ED">
      <w:pPr>
        <w:numPr>
          <w:ilvl w:val="0"/>
          <w:numId w:val="11"/>
        </w:numPr>
        <w:jc w:val="both"/>
        <w:rPr>
          <w:sz w:val="21"/>
          <w:szCs w:val="21"/>
        </w:rPr>
      </w:pPr>
      <w:r w:rsidRPr="009716ED">
        <w:rPr>
          <w:b/>
          <w:bCs/>
          <w:sz w:val="21"/>
          <w:szCs w:val="21"/>
        </w:rPr>
        <w:t xml:space="preserve">Well supported </w:t>
      </w:r>
      <w:r w:rsidRPr="009716ED">
        <w:rPr>
          <w:sz w:val="21"/>
          <w:szCs w:val="21"/>
        </w:rPr>
        <w:t xml:space="preserve">– agencies are supported with quality </w:t>
      </w:r>
      <w:r w:rsidRPr="009716ED">
        <w:rPr>
          <w:sz w:val="21"/>
          <w:szCs w:val="21"/>
          <w:u w:val="single"/>
        </w:rPr>
        <w:t xml:space="preserve">guidance, tools, education, channels, and support </w:t>
      </w:r>
      <w:r w:rsidRPr="009716ED">
        <w:rPr>
          <w:sz w:val="21"/>
          <w:szCs w:val="21"/>
        </w:rPr>
        <w:t>to improve our collective understanding and application across the system.</w:t>
      </w:r>
    </w:p>
    <w:p w:rsidR="009716ED" w:rsidRDefault="009716ED" w:rsidP="009716ED">
      <w:pPr>
        <w:jc w:val="both"/>
        <w:rPr>
          <w:sz w:val="21"/>
          <w:szCs w:val="21"/>
        </w:rPr>
      </w:pPr>
      <w:r>
        <w:rPr>
          <w:b/>
          <w:bCs/>
          <w:sz w:val="21"/>
          <w:szCs w:val="21"/>
        </w:rPr>
        <w:t>Timeframe for change</w:t>
      </w:r>
      <w:r w:rsidRPr="009716ED">
        <w:rPr>
          <w:sz w:val="21"/>
          <w:szCs w:val="21"/>
        </w:rPr>
        <w:t>:</w:t>
      </w:r>
    </w:p>
    <w:p w:rsidR="009716ED" w:rsidRPr="002D75E2" w:rsidRDefault="002D75E2" w:rsidP="002D75E2">
      <w:pPr>
        <w:pStyle w:val="ListParagraph"/>
        <w:numPr>
          <w:ilvl w:val="0"/>
          <w:numId w:val="13"/>
        </w:numPr>
        <w:jc w:val="both"/>
        <w:rPr>
          <w:sz w:val="21"/>
          <w:szCs w:val="21"/>
        </w:rPr>
      </w:pPr>
      <w:r w:rsidRPr="002D75E2">
        <w:rPr>
          <w:b/>
          <w:sz w:val="21"/>
          <w:szCs w:val="21"/>
        </w:rPr>
        <w:t>Plan &amp; Design</w:t>
      </w:r>
      <w:r w:rsidRPr="002D75E2">
        <w:rPr>
          <w:sz w:val="21"/>
          <w:szCs w:val="21"/>
        </w:rPr>
        <w:t xml:space="preserve"> - </w:t>
      </w:r>
      <w:r w:rsidR="009716ED" w:rsidRPr="002D75E2">
        <w:rPr>
          <w:sz w:val="21"/>
          <w:szCs w:val="21"/>
        </w:rPr>
        <w:t xml:space="preserve">Right now through the end of the calendar year we are planning and designing the changes.  </w:t>
      </w:r>
    </w:p>
    <w:p w:rsidR="009716ED" w:rsidRPr="002D75E2" w:rsidRDefault="002D75E2" w:rsidP="002D75E2">
      <w:pPr>
        <w:pStyle w:val="ListParagraph"/>
        <w:numPr>
          <w:ilvl w:val="0"/>
          <w:numId w:val="13"/>
        </w:numPr>
        <w:jc w:val="both"/>
        <w:rPr>
          <w:sz w:val="21"/>
          <w:szCs w:val="21"/>
        </w:rPr>
      </w:pPr>
      <w:r w:rsidRPr="002D75E2">
        <w:rPr>
          <w:b/>
          <w:sz w:val="21"/>
          <w:szCs w:val="21"/>
        </w:rPr>
        <w:t>Develop &amp; Consult</w:t>
      </w:r>
      <w:r w:rsidRPr="002D75E2">
        <w:rPr>
          <w:sz w:val="21"/>
          <w:szCs w:val="21"/>
        </w:rPr>
        <w:t xml:space="preserve"> - </w:t>
      </w:r>
      <w:r w:rsidR="009716ED" w:rsidRPr="002D75E2">
        <w:rPr>
          <w:sz w:val="21"/>
          <w:szCs w:val="21"/>
        </w:rPr>
        <w:t>From January to October 2024, we will be developing the draft changes, to</w:t>
      </w:r>
      <w:r w:rsidR="001466EB">
        <w:rPr>
          <w:sz w:val="21"/>
          <w:szCs w:val="21"/>
        </w:rPr>
        <w:t>ols, and guidance and in</w:t>
      </w:r>
      <w:r w:rsidR="009716ED" w:rsidRPr="002D75E2">
        <w:rPr>
          <w:sz w:val="21"/>
          <w:szCs w:val="21"/>
        </w:rPr>
        <w:t xml:space="preserve"> consultation with you all.  </w:t>
      </w:r>
    </w:p>
    <w:p w:rsidR="009716ED" w:rsidRPr="002D75E2" w:rsidRDefault="002D75E2" w:rsidP="002D75E2">
      <w:pPr>
        <w:pStyle w:val="ListParagraph"/>
        <w:numPr>
          <w:ilvl w:val="0"/>
          <w:numId w:val="13"/>
        </w:numPr>
        <w:jc w:val="both"/>
        <w:rPr>
          <w:sz w:val="21"/>
          <w:szCs w:val="21"/>
        </w:rPr>
      </w:pPr>
      <w:r w:rsidRPr="002D75E2">
        <w:rPr>
          <w:b/>
          <w:sz w:val="21"/>
          <w:szCs w:val="21"/>
        </w:rPr>
        <w:t>Pilot</w:t>
      </w:r>
      <w:r w:rsidRPr="002D75E2">
        <w:rPr>
          <w:sz w:val="21"/>
          <w:szCs w:val="21"/>
        </w:rPr>
        <w:t xml:space="preserve"> - </w:t>
      </w:r>
      <w:r w:rsidR="009716ED" w:rsidRPr="002D75E2">
        <w:rPr>
          <w:sz w:val="21"/>
          <w:szCs w:val="21"/>
        </w:rPr>
        <w:t xml:space="preserve">In November 2024, we will begin the pilot </w:t>
      </w:r>
      <w:r w:rsidRPr="002D75E2">
        <w:rPr>
          <w:sz w:val="21"/>
          <w:szCs w:val="21"/>
        </w:rPr>
        <w:t xml:space="preserve">of </w:t>
      </w:r>
      <w:r w:rsidR="001466EB">
        <w:rPr>
          <w:sz w:val="21"/>
          <w:szCs w:val="21"/>
        </w:rPr>
        <w:t>the updated</w:t>
      </w:r>
      <w:r w:rsidR="009716ED" w:rsidRPr="002D75E2">
        <w:rPr>
          <w:sz w:val="21"/>
          <w:szCs w:val="21"/>
        </w:rPr>
        <w:t xml:space="preserve"> frame</w:t>
      </w:r>
      <w:r w:rsidRPr="002D75E2">
        <w:rPr>
          <w:sz w:val="21"/>
          <w:szCs w:val="21"/>
        </w:rPr>
        <w:t>w</w:t>
      </w:r>
      <w:r w:rsidR="001466EB">
        <w:rPr>
          <w:sz w:val="21"/>
          <w:szCs w:val="21"/>
        </w:rPr>
        <w:t xml:space="preserve">ork with volunteer agencies to </w:t>
      </w:r>
      <w:r w:rsidRPr="002D75E2">
        <w:rPr>
          <w:sz w:val="21"/>
          <w:szCs w:val="21"/>
        </w:rPr>
        <w:t>test our processes and learn</w:t>
      </w:r>
      <w:r w:rsidR="009716ED" w:rsidRPr="002D75E2">
        <w:rPr>
          <w:sz w:val="21"/>
          <w:szCs w:val="21"/>
        </w:rPr>
        <w:t xml:space="preserve"> from the</w:t>
      </w:r>
      <w:r w:rsidRPr="002D75E2">
        <w:rPr>
          <w:sz w:val="21"/>
          <w:szCs w:val="21"/>
        </w:rPr>
        <w:t xml:space="preserve"> initial</w:t>
      </w:r>
      <w:r w:rsidR="009716ED" w:rsidRPr="002D75E2">
        <w:rPr>
          <w:sz w:val="21"/>
          <w:szCs w:val="21"/>
        </w:rPr>
        <w:t xml:space="preserve"> round.  This will inform any changes to the final framework and tools.  All remaining agencies not on the pilot will contin</w:t>
      </w:r>
      <w:r w:rsidR="001466EB">
        <w:rPr>
          <w:sz w:val="21"/>
          <w:szCs w:val="21"/>
        </w:rPr>
        <w:t>ue to use the current framework for the 2024/25 year.</w:t>
      </w:r>
      <w:r w:rsidR="009716ED" w:rsidRPr="002D75E2">
        <w:rPr>
          <w:sz w:val="21"/>
          <w:szCs w:val="21"/>
        </w:rPr>
        <w:t xml:space="preserve">  </w:t>
      </w:r>
    </w:p>
    <w:p w:rsidR="009716ED" w:rsidRPr="002D75E2" w:rsidRDefault="002D75E2" w:rsidP="002D75E2">
      <w:pPr>
        <w:pStyle w:val="ListParagraph"/>
        <w:numPr>
          <w:ilvl w:val="0"/>
          <w:numId w:val="13"/>
        </w:numPr>
        <w:jc w:val="both"/>
        <w:rPr>
          <w:sz w:val="21"/>
          <w:szCs w:val="21"/>
        </w:rPr>
      </w:pPr>
      <w:r w:rsidRPr="002D75E2">
        <w:rPr>
          <w:b/>
          <w:sz w:val="21"/>
          <w:szCs w:val="21"/>
        </w:rPr>
        <w:t>Implement</w:t>
      </w:r>
      <w:r w:rsidRPr="002D75E2">
        <w:rPr>
          <w:sz w:val="21"/>
          <w:szCs w:val="21"/>
        </w:rPr>
        <w:t xml:space="preserve"> - </w:t>
      </w:r>
      <w:r w:rsidR="009716ED" w:rsidRPr="002D75E2">
        <w:rPr>
          <w:sz w:val="21"/>
          <w:szCs w:val="21"/>
        </w:rPr>
        <w:t>From November 2025, we will aim to roll out the final assurance framework to all agencies, including support and education wrapped around the roll out.</w:t>
      </w:r>
    </w:p>
    <w:p w:rsidR="009716ED" w:rsidRPr="009716ED" w:rsidRDefault="009716ED" w:rsidP="009716ED">
      <w:pPr>
        <w:jc w:val="both"/>
        <w:rPr>
          <w:sz w:val="21"/>
          <w:szCs w:val="21"/>
        </w:rPr>
      </w:pPr>
      <w:r w:rsidRPr="009716ED">
        <w:rPr>
          <w:sz w:val="21"/>
          <w:szCs w:val="21"/>
        </w:rPr>
        <w:t>The overall change programme for assurance will take three cycles, but you can expect to see early dividends in how we provide support to agencies – including through new or changed channels, education, guidance, and ways of working.</w:t>
      </w:r>
    </w:p>
    <w:p w:rsidR="009716ED" w:rsidRPr="009716ED" w:rsidRDefault="009716ED" w:rsidP="009716ED">
      <w:pPr>
        <w:jc w:val="both"/>
        <w:rPr>
          <w:b/>
          <w:sz w:val="21"/>
          <w:szCs w:val="21"/>
        </w:rPr>
      </w:pPr>
      <w:r w:rsidRPr="009716ED">
        <w:rPr>
          <w:b/>
          <w:sz w:val="21"/>
          <w:szCs w:val="21"/>
        </w:rPr>
        <w:t>What we need from agencies:</w:t>
      </w:r>
    </w:p>
    <w:p w:rsidR="009716ED" w:rsidRPr="009716ED" w:rsidRDefault="009716ED" w:rsidP="009716ED">
      <w:pPr>
        <w:numPr>
          <w:ilvl w:val="0"/>
          <w:numId w:val="12"/>
        </w:numPr>
        <w:jc w:val="both"/>
        <w:rPr>
          <w:sz w:val="21"/>
          <w:szCs w:val="21"/>
        </w:rPr>
      </w:pPr>
      <w:r w:rsidRPr="009716ED">
        <w:rPr>
          <w:sz w:val="21"/>
          <w:szCs w:val="21"/>
        </w:rPr>
        <w:t xml:space="preserve">We welcome feedback on the proposed approach to improving PSR assurance. </w:t>
      </w:r>
    </w:p>
    <w:p w:rsidR="009716ED" w:rsidRPr="009716ED" w:rsidRDefault="009716ED" w:rsidP="009716ED">
      <w:pPr>
        <w:numPr>
          <w:ilvl w:val="0"/>
          <w:numId w:val="12"/>
        </w:numPr>
        <w:jc w:val="both"/>
        <w:rPr>
          <w:sz w:val="21"/>
          <w:szCs w:val="21"/>
        </w:rPr>
      </w:pPr>
      <w:r w:rsidRPr="009716ED">
        <w:rPr>
          <w:sz w:val="21"/>
          <w:szCs w:val="21"/>
        </w:rPr>
        <w:t>We are looking for volunte</w:t>
      </w:r>
      <w:r>
        <w:rPr>
          <w:sz w:val="21"/>
          <w:szCs w:val="21"/>
        </w:rPr>
        <w:t xml:space="preserve">ers to support the design work </w:t>
      </w:r>
      <w:r w:rsidRPr="009716ED">
        <w:rPr>
          <w:sz w:val="21"/>
          <w:szCs w:val="21"/>
        </w:rPr>
        <w:t xml:space="preserve">-- from both </w:t>
      </w:r>
      <w:r w:rsidRPr="009716ED">
        <w:rPr>
          <w:sz w:val="21"/>
          <w:szCs w:val="21"/>
          <w:u w:val="single"/>
        </w:rPr>
        <w:t xml:space="preserve">protective security practitioners </w:t>
      </w:r>
      <w:r w:rsidRPr="009716ED">
        <w:rPr>
          <w:sz w:val="21"/>
          <w:szCs w:val="21"/>
        </w:rPr>
        <w:t xml:space="preserve">and </w:t>
      </w:r>
      <w:r w:rsidRPr="009716ED">
        <w:rPr>
          <w:sz w:val="21"/>
          <w:szCs w:val="21"/>
          <w:u w:val="single"/>
        </w:rPr>
        <w:t>risk and assurance practitioners</w:t>
      </w:r>
      <w:r w:rsidRPr="009716ED">
        <w:rPr>
          <w:sz w:val="21"/>
          <w:szCs w:val="21"/>
        </w:rPr>
        <w:t xml:space="preserve">. </w:t>
      </w:r>
    </w:p>
    <w:p w:rsidR="009716ED" w:rsidRPr="009716ED" w:rsidRDefault="001466EB" w:rsidP="009716ED">
      <w:pPr>
        <w:numPr>
          <w:ilvl w:val="0"/>
          <w:numId w:val="12"/>
        </w:numPr>
        <w:jc w:val="both"/>
        <w:rPr>
          <w:sz w:val="21"/>
          <w:szCs w:val="21"/>
        </w:rPr>
      </w:pPr>
      <w:r>
        <w:rPr>
          <w:sz w:val="21"/>
          <w:szCs w:val="21"/>
        </w:rPr>
        <w:t>We will be</w:t>
      </w:r>
      <w:r w:rsidR="009716ED" w:rsidRPr="009716ED">
        <w:rPr>
          <w:sz w:val="21"/>
          <w:szCs w:val="21"/>
        </w:rPr>
        <w:t xml:space="preserve"> seeking agencies to take part in the pilot for the 2024-25 assurance round.</w:t>
      </w:r>
    </w:p>
    <w:p w:rsidR="009716ED" w:rsidRPr="009716ED" w:rsidRDefault="006431AE" w:rsidP="006431AE">
      <w:pPr>
        <w:jc w:val="both"/>
        <w:rPr>
          <w:sz w:val="21"/>
          <w:szCs w:val="21"/>
        </w:rPr>
      </w:pPr>
      <w:r>
        <w:rPr>
          <w:sz w:val="21"/>
          <w:szCs w:val="21"/>
        </w:rPr>
        <w:t>Please c</w:t>
      </w:r>
      <w:r w:rsidR="009716ED" w:rsidRPr="009716ED">
        <w:rPr>
          <w:sz w:val="21"/>
          <w:szCs w:val="21"/>
        </w:rPr>
        <w:t xml:space="preserve">ontact </w:t>
      </w:r>
      <w:r w:rsidR="002D75E2">
        <w:rPr>
          <w:sz w:val="21"/>
          <w:szCs w:val="21"/>
        </w:rPr>
        <w:t xml:space="preserve">the PSR Unit </w:t>
      </w:r>
      <w:r w:rsidR="009716ED">
        <w:rPr>
          <w:sz w:val="21"/>
          <w:szCs w:val="21"/>
        </w:rPr>
        <w:t>with any feedback and if you</w:t>
      </w:r>
      <w:r w:rsidR="009716ED" w:rsidRPr="009716ED">
        <w:rPr>
          <w:sz w:val="21"/>
          <w:szCs w:val="21"/>
        </w:rPr>
        <w:t xml:space="preserve"> want to volunteer to support</w:t>
      </w:r>
      <w:r>
        <w:rPr>
          <w:sz w:val="21"/>
          <w:szCs w:val="21"/>
        </w:rPr>
        <w:t xml:space="preserve"> the</w:t>
      </w:r>
      <w:r w:rsidR="009716ED" w:rsidRPr="009716ED">
        <w:rPr>
          <w:sz w:val="21"/>
          <w:szCs w:val="21"/>
        </w:rPr>
        <w:t xml:space="preserve"> design work or </w:t>
      </w:r>
      <w:r w:rsidR="001466EB">
        <w:rPr>
          <w:sz w:val="21"/>
          <w:szCs w:val="21"/>
        </w:rPr>
        <w:t xml:space="preserve">potentially </w:t>
      </w:r>
      <w:r w:rsidR="009716ED" w:rsidRPr="009716ED">
        <w:rPr>
          <w:sz w:val="21"/>
          <w:szCs w:val="21"/>
        </w:rPr>
        <w:t>take part in the pilot.</w:t>
      </w:r>
    </w:p>
    <w:p w:rsidR="009716ED" w:rsidRPr="009716ED" w:rsidRDefault="009716ED" w:rsidP="009716ED">
      <w:pPr>
        <w:jc w:val="both"/>
        <w:rPr>
          <w:sz w:val="21"/>
          <w:szCs w:val="21"/>
        </w:rPr>
      </w:pPr>
    </w:p>
    <w:p w:rsidR="00270266" w:rsidRPr="001100F3" w:rsidRDefault="00270266" w:rsidP="009716ED">
      <w:pPr>
        <w:jc w:val="both"/>
        <w:rPr>
          <w:sz w:val="21"/>
          <w:szCs w:val="21"/>
        </w:rPr>
      </w:pPr>
      <w:r w:rsidRPr="001100F3">
        <w:rPr>
          <w:sz w:val="21"/>
          <w:szCs w:val="21"/>
        </w:rPr>
        <w:t>If you have any further questions, please contact the PSR team on:</w:t>
      </w:r>
    </w:p>
    <w:p w:rsidR="00270266" w:rsidRPr="001100F3" w:rsidRDefault="00E560F1" w:rsidP="009716ED">
      <w:pPr>
        <w:jc w:val="both"/>
        <w:rPr>
          <w:sz w:val="21"/>
          <w:szCs w:val="21"/>
        </w:rPr>
      </w:pPr>
      <w:hyperlink r:id="rId11" w:history="1">
        <w:r w:rsidR="00967A1A" w:rsidRPr="001100F3">
          <w:rPr>
            <w:rStyle w:val="Hyperlink"/>
            <w:color w:val="0094B3" w:themeColor="accent1"/>
            <w:sz w:val="21"/>
            <w:szCs w:val="21"/>
          </w:rPr>
          <w:t>psr@protectivesecurity.govt.nz</w:t>
        </w:r>
      </w:hyperlink>
      <w:r w:rsidR="00270266" w:rsidRPr="001100F3">
        <w:rPr>
          <w:sz w:val="21"/>
          <w:szCs w:val="21"/>
        </w:rPr>
        <w:t>.</w:t>
      </w:r>
    </w:p>
    <w:p w:rsidR="00270266" w:rsidRPr="001100F3" w:rsidRDefault="00270266" w:rsidP="009716ED">
      <w:pPr>
        <w:jc w:val="both"/>
        <w:rPr>
          <w:sz w:val="21"/>
          <w:szCs w:val="21"/>
        </w:rPr>
      </w:pPr>
    </w:p>
    <w:p w:rsidR="00270266" w:rsidRPr="001100F3" w:rsidRDefault="00270266" w:rsidP="009716ED">
      <w:pPr>
        <w:jc w:val="both"/>
        <w:rPr>
          <w:sz w:val="21"/>
          <w:szCs w:val="21"/>
        </w:rPr>
      </w:pPr>
      <w:proofErr w:type="spellStart"/>
      <w:r w:rsidRPr="001100F3">
        <w:rPr>
          <w:sz w:val="21"/>
          <w:szCs w:val="21"/>
        </w:rPr>
        <w:t>Ngā</w:t>
      </w:r>
      <w:proofErr w:type="spellEnd"/>
      <w:r w:rsidRPr="001100F3">
        <w:rPr>
          <w:sz w:val="21"/>
          <w:szCs w:val="21"/>
        </w:rPr>
        <w:t xml:space="preserve"> </w:t>
      </w:r>
      <w:proofErr w:type="spellStart"/>
      <w:r w:rsidRPr="001100F3">
        <w:rPr>
          <w:sz w:val="21"/>
          <w:szCs w:val="21"/>
        </w:rPr>
        <w:t>mihi</w:t>
      </w:r>
      <w:proofErr w:type="spellEnd"/>
      <w:r w:rsidRPr="001100F3">
        <w:rPr>
          <w:sz w:val="21"/>
          <w:szCs w:val="21"/>
        </w:rPr>
        <w:t xml:space="preserve"> </w:t>
      </w:r>
      <w:proofErr w:type="spellStart"/>
      <w:r w:rsidRPr="001100F3">
        <w:rPr>
          <w:sz w:val="21"/>
          <w:szCs w:val="21"/>
        </w:rPr>
        <w:t>nui</w:t>
      </w:r>
      <w:proofErr w:type="spellEnd"/>
      <w:r w:rsidRPr="001100F3">
        <w:rPr>
          <w:sz w:val="21"/>
          <w:szCs w:val="21"/>
        </w:rPr>
        <w:t xml:space="preserve"> </w:t>
      </w:r>
      <w:proofErr w:type="spellStart"/>
      <w:r w:rsidRPr="001100F3">
        <w:rPr>
          <w:sz w:val="21"/>
          <w:szCs w:val="21"/>
        </w:rPr>
        <w:t>ki</w:t>
      </w:r>
      <w:proofErr w:type="spellEnd"/>
      <w:r w:rsidRPr="001100F3">
        <w:rPr>
          <w:sz w:val="21"/>
          <w:szCs w:val="21"/>
        </w:rPr>
        <w:t xml:space="preserve"> a </w:t>
      </w:r>
      <w:proofErr w:type="spellStart"/>
      <w:r w:rsidRPr="001100F3">
        <w:rPr>
          <w:sz w:val="21"/>
          <w:szCs w:val="21"/>
        </w:rPr>
        <w:t>koe</w:t>
      </w:r>
      <w:proofErr w:type="spellEnd"/>
    </w:p>
    <w:p w:rsidR="00606A42" w:rsidRPr="001100F3" w:rsidRDefault="00270266" w:rsidP="009716ED">
      <w:pPr>
        <w:jc w:val="both"/>
        <w:rPr>
          <w:sz w:val="21"/>
          <w:szCs w:val="21"/>
        </w:rPr>
      </w:pPr>
      <w:r w:rsidRPr="001100F3">
        <w:rPr>
          <w:sz w:val="21"/>
          <w:szCs w:val="21"/>
        </w:rPr>
        <w:t>Protective Security Requirements Team</w:t>
      </w:r>
    </w:p>
    <w:p w:rsidR="00967A1A" w:rsidRPr="00606A42" w:rsidRDefault="00967A1A" w:rsidP="00270266">
      <w:r>
        <w:rPr>
          <w:noProof/>
          <w:lang w:eastAsia="en-NZ"/>
        </w:rPr>
        <w:drawing>
          <wp:inline distT="0" distB="0" distL="0" distR="0">
            <wp:extent cx="2886075" cy="542925"/>
            <wp:effectExtent l="0" t="0" r="9525" b="9525"/>
            <wp:docPr id="1" name="Picture 1" descr="cid:image003.png@01D8C783.1CCCB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8C783.1CCCB2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86075" cy="542925"/>
                    </a:xfrm>
                    <a:prstGeom prst="rect">
                      <a:avLst/>
                    </a:prstGeom>
                    <a:noFill/>
                    <a:ln>
                      <a:noFill/>
                    </a:ln>
                  </pic:spPr>
                </pic:pic>
              </a:graphicData>
            </a:graphic>
          </wp:inline>
        </w:drawing>
      </w:r>
    </w:p>
    <w:sectPr w:rsidR="00967A1A" w:rsidRPr="00606A42" w:rsidSect="005E5AB9">
      <w:headerReference w:type="even" r:id="rId14"/>
      <w:headerReference w:type="default" r:id="rId15"/>
      <w:footerReference w:type="even" r:id="rId16"/>
      <w:footerReference w:type="default" r:id="rId17"/>
      <w:headerReference w:type="first" r:id="rId18"/>
      <w:footerReference w:type="first" r:id="rId19"/>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0F1" w:rsidRDefault="00E560F1" w:rsidP="00490657">
      <w:r>
        <w:separator/>
      </w:r>
    </w:p>
  </w:endnote>
  <w:endnote w:type="continuationSeparator" w:id="0">
    <w:p w:rsidR="00E560F1" w:rsidRDefault="00E560F1" w:rsidP="0049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ED" w:rsidRDefault="00971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ED" w:rsidRPr="007070EB" w:rsidRDefault="009716ED" w:rsidP="00707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ED" w:rsidRDefault="00971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0F1" w:rsidRDefault="00E560F1" w:rsidP="00490657">
      <w:r>
        <w:separator/>
      </w:r>
    </w:p>
  </w:footnote>
  <w:footnote w:type="continuationSeparator" w:id="0">
    <w:p w:rsidR="00E560F1" w:rsidRDefault="00E560F1" w:rsidP="00490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ED" w:rsidRDefault="00971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ED" w:rsidRDefault="00971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ED" w:rsidRDefault="00971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0060"/>
    <w:multiLevelType w:val="hybridMultilevel"/>
    <w:tmpl w:val="3EACD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E70D49"/>
    <w:multiLevelType w:val="hybridMultilevel"/>
    <w:tmpl w:val="9B0CA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6E501F"/>
    <w:multiLevelType w:val="hybridMultilevel"/>
    <w:tmpl w:val="DEF2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254FAA"/>
    <w:multiLevelType w:val="hybridMultilevel"/>
    <w:tmpl w:val="EA30C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685C42"/>
    <w:multiLevelType w:val="hybridMultilevel"/>
    <w:tmpl w:val="41C47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D9374A"/>
    <w:multiLevelType w:val="hybridMultilevel"/>
    <w:tmpl w:val="C0760348"/>
    <w:lvl w:ilvl="0" w:tplc="44F6E3CA">
      <w:start w:val="1"/>
      <w:numFmt w:val="bullet"/>
      <w:lvlText w:val="•"/>
      <w:lvlJc w:val="left"/>
      <w:pPr>
        <w:tabs>
          <w:tab w:val="num" w:pos="720"/>
        </w:tabs>
        <w:ind w:left="720" w:hanging="360"/>
      </w:pPr>
      <w:rPr>
        <w:rFonts w:ascii="Arial" w:hAnsi="Arial" w:hint="default"/>
      </w:rPr>
    </w:lvl>
    <w:lvl w:ilvl="1" w:tplc="67B636D2" w:tentative="1">
      <w:start w:val="1"/>
      <w:numFmt w:val="bullet"/>
      <w:lvlText w:val="•"/>
      <w:lvlJc w:val="left"/>
      <w:pPr>
        <w:tabs>
          <w:tab w:val="num" w:pos="1440"/>
        </w:tabs>
        <w:ind w:left="1440" w:hanging="360"/>
      </w:pPr>
      <w:rPr>
        <w:rFonts w:ascii="Arial" w:hAnsi="Arial" w:hint="default"/>
      </w:rPr>
    </w:lvl>
    <w:lvl w:ilvl="2" w:tplc="95461270" w:tentative="1">
      <w:start w:val="1"/>
      <w:numFmt w:val="bullet"/>
      <w:lvlText w:val="•"/>
      <w:lvlJc w:val="left"/>
      <w:pPr>
        <w:tabs>
          <w:tab w:val="num" w:pos="2160"/>
        </w:tabs>
        <w:ind w:left="2160" w:hanging="360"/>
      </w:pPr>
      <w:rPr>
        <w:rFonts w:ascii="Arial" w:hAnsi="Arial" w:hint="default"/>
      </w:rPr>
    </w:lvl>
    <w:lvl w:ilvl="3" w:tplc="D82CCF6A" w:tentative="1">
      <w:start w:val="1"/>
      <w:numFmt w:val="bullet"/>
      <w:lvlText w:val="•"/>
      <w:lvlJc w:val="left"/>
      <w:pPr>
        <w:tabs>
          <w:tab w:val="num" w:pos="2880"/>
        </w:tabs>
        <w:ind w:left="2880" w:hanging="360"/>
      </w:pPr>
      <w:rPr>
        <w:rFonts w:ascii="Arial" w:hAnsi="Arial" w:hint="default"/>
      </w:rPr>
    </w:lvl>
    <w:lvl w:ilvl="4" w:tplc="9CF011E6" w:tentative="1">
      <w:start w:val="1"/>
      <w:numFmt w:val="bullet"/>
      <w:lvlText w:val="•"/>
      <w:lvlJc w:val="left"/>
      <w:pPr>
        <w:tabs>
          <w:tab w:val="num" w:pos="3600"/>
        </w:tabs>
        <w:ind w:left="3600" w:hanging="360"/>
      </w:pPr>
      <w:rPr>
        <w:rFonts w:ascii="Arial" w:hAnsi="Arial" w:hint="default"/>
      </w:rPr>
    </w:lvl>
    <w:lvl w:ilvl="5" w:tplc="1284A836" w:tentative="1">
      <w:start w:val="1"/>
      <w:numFmt w:val="bullet"/>
      <w:lvlText w:val="•"/>
      <w:lvlJc w:val="left"/>
      <w:pPr>
        <w:tabs>
          <w:tab w:val="num" w:pos="4320"/>
        </w:tabs>
        <w:ind w:left="4320" w:hanging="360"/>
      </w:pPr>
      <w:rPr>
        <w:rFonts w:ascii="Arial" w:hAnsi="Arial" w:hint="default"/>
      </w:rPr>
    </w:lvl>
    <w:lvl w:ilvl="6" w:tplc="91029FA0" w:tentative="1">
      <w:start w:val="1"/>
      <w:numFmt w:val="bullet"/>
      <w:lvlText w:val="•"/>
      <w:lvlJc w:val="left"/>
      <w:pPr>
        <w:tabs>
          <w:tab w:val="num" w:pos="5040"/>
        </w:tabs>
        <w:ind w:left="5040" w:hanging="360"/>
      </w:pPr>
      <w:rPr>
        <w:rFonts w:ascii="Arial" w:hAnsi="Arial" w:hint="default"/>
      </w:rPr>
    </w:lvl>
    <w:lvl w:ilvl="7" w:tplc="416E9AAC" w:tentative="1">
      <w:start w:val="1"/>
      <w:numFmt w:val="bullet"/>
      <w:lvlText w:val="•"/>
      <w:lvlJc w:val="left"/>
      <w:pPr>
        <w:tabs>
          <w:tab w:val="num" w:pos="5760"/>
        </w:tabs>
        <w:ind w:left="5760" w:hanging="360"/>
      </w:pPr>
      <w:rPr>
        <w:rFonts w:ascii="Arial" w:hAnsi="Arial" w:hint="default"/>
      </w:rPr>
    </w:lvl>
    <w:lvl w:ilvl="8" w:tplc="3760C7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9C7D9F"/>
    <w:multiLevelType w:val="hybridMultilevel"/>
    <w:tmpl w:val="01C09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7951B99"/>
    <w:multiLevelType w:val="hybridMultilevel"/>
    <w:tmpl w:val="E6446C62"/>
    <w:lvl w:ilvl="0" w:tplc="84BA4722">
      <w:start w:val="1"/>
      <w:numFmt w:val="bullet"/>
      <w:lvlText w:val="•"/>
      <w:lvlJc w:val="left"/>
      <w:pPr>
        <w:tabs>
          <w:tab w:val="num" w:pos="720"/>
        </w:tabs>
        <w:ind w:left="720" w:hanging="360"/>
      </w:pPr>
      <w:rPr>
        <w:rFonts w:ascii="Arial" w:hAnsi="Arial" w:hint="default"/>
      </w:rPr>
    </w:lvl>
    <w:lvl w:ilvl="1" w:tplc="788CFE28" w:tentative="1">
      <w:start w:val="1"/>
      <w:numFmt w:val="bullet"/>
      <w:lvlText w:val="•"/>
      <w:lvlJc w:val="left"/>
      <w:pPr>
        <w:tabs>
          <w:tab w:val="num" w:pos="1440"/>
        </w:tabs>
        <w:ind w:left="1440" w:hanging="360"/>
      </w:pPr>
      <w:rPr>
        <w:rFonts w:ascii="Arial" w:hAnsi="Arial" w:hint="default"/>
      </w:rPr>
    </w:lvl>
    <w:lvl w:ilvl="2" w:tplc="E2488222" w:tentative="1">
      <w:start w:val="1"/>
      <w:numFmt w:val="bullet"/>
      <w:lvlText w:val="•"/>
      <w:lvlJc w:val="left"/>
      <w:pPr>
        <w:tabs>
          <w:tab w:val="num" w:pos="2160"/>
        </w:tabs>
        <w:ind w:left="2160" w:hanging="360"/>
      </w:pPr>
      <w:rPr>
        <w:rFonts w:ascii="Arial" w:hAnsi="Arial" w:hint="default"/>
      </w:rPr>
    </w:lvl>
    <w:lvl w:ilvl="3" w:tplc="D4E602F4" w:tentative="1">
      <w:start w:val="1"/>
      <w:numFmt w:val="bullet"/>
      <w:lvlText w:val="•"/>
      <w:lvlJc w:val="left"/>
      <w:pPr>
        <w:tabs>
          <w:tab w:val="num" w:pos="2880"/>
        </w:tabs>
        <w:ind w:left="2880" w:hanging="360"/>
      </w:pPr>
      <w:rPr>
        <w:rFonts w:ascii="Arial" w:hAnsi="Arial" w:hint="default"/>
      </w:rPr>
    </w:lvl>
    <w:lvl w:ilvl="4" w:tplc="A0F2FE36" w:tentative="1">
      <w:start w:val="1"/>
      <w:numFmt w:val="bullet"/>
      <w:lvlText w:val="•"/>
      <w:lvlJc w:val="left"/>
      <w:pPr>
        <w:tabs>
          <w:tab w:val="num" w:pos="3600"/>
        </w:tabs>
        <w:ind w:left="3600" w:hanging="360"/>
      </w:pPr>
      <w:rPr>
        <w:rFonts w:ascii="Arial" w:hAnsi="Arial" w:hint="default"/>
      </w:rPr>
    </w:lvl>
    <w:lvl w:ilvl="5" w:tplc="E4BCC208" w:tentative="1">
      <w:start w:val="1"/>
      <w:numFmt w:val="bullet"/>
      <w:lvlText w:val="•"/>
      <w:lvlJc w:val="left"/>
      <w:pPr>
        <w:tabs>
          <w:tab w:val="num" w:pos="4320"/>
        </w:tabs>
        <w:ind w:left="4320" w:hanging="360"/>
      </w:pPr>
      <w:rPr>
        <w:rFonts w:ascii="Arial" w:hAnsi="Arial" w:hint="default"/>
      </w:rPr>
    </w:lvl>
    <w:lvl w:ilvl="6" w:tplc="1E7CDC2C" w:tentative="1">
      <w:start w:val="1"/>
      <w:numFmt w:val="bullet"/>
      <w:lvlText w:val="•"/>
      <w:lvlJc w:val="left"/>
      <w:pPr>
        <w:tabs>
          <w:tab w:val="num" w:pos="5040"/>
        </w:tabs>
        <w:ind w:left="5040" w:hanging="360"/>
      </w:pPr>
      <w:rPr>
        <w:rFonts w:ascii="Arial" w:hAnsi="Arial" w:hint="default"/>
      </w:rPr>
    </w:lvl>
    <w:lvl w:ilvl="7" w:tplc="11BE1292" w:tentative="1">
      <w:start w:val="1"/>
      <w:numFmt w:val="bullet"/>
      <w:lvlText w:val="•"/>
      <w:lvlJc w:val="left"/>
      <w:pPr>
        <w:tabs>
          <w:tab w:val="num" w:pos="5760"/>
        </w:tabs>
        <w:ind w:left="5760" w:hanging="360"/>
      </w:pPr>
      <w:rPr>
        <w:rFonts w:ascii="Arial" w:hAnsi="Arial" w:hint="default"/>
      </w:rPr>
    </w:lvl>
    <w:lvl w:ilvl="8" w:tplc="EB9EA0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773DF4"/>
    <w:multiLevelType w:val="hybridMultilevel"/>
    <w:tmpl w:val="EA3EE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52019C0"/>
    <w:multiLevelType w:val="hybridMultilevel"/>
    <w:tmpl w:val="9114546C"/>
    <w:lvl w:ilvl="0" w:tplc="1D3CE462">
      <w:start w:val="1"/>
      <w:numFmt w:val="bullet"/>
      <w:pStyle w:val="TableList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6073FA8"/>
    <w:multiLevelType w:val="hybridMultilevel"/>
    <w:tmpl w:val="958235B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560E1997"/>
    <w:multiLevelType w:val="hybridMultilevel"/>
    <w:tmpl w:val="F25C49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115FD3"/>
    <w:multiLevelType w:val="hybridMultilevel"/>
    <w:tmpl w:val="E5AA30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1"/>
  </w:num>
  <w:num w:numId="5">
    <w:abstractNumId w:val="0"/>
  </w:num>
  <w:num w:numId="6">
    <w:abstractNumId w:val="1"/>
  </w:num>
  <w:num w:numId="7">
    <w:abstractNumId w:val="3"/>
  </w:num>
  <w:num w:numId="8">
    <w:abstractNumId w:val="8"/>
  </w:num>
  <w:num w:numId="9">
    <w:abstractNumId w:val="12"/>
  </w:num>
  <w:num w:numId="10">
    <w:abstractNumId w:val="4"/>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1D"/>
    <w:rsid w:val="00030881"/>
    <w:rsid w:val="000326B5"/>
    <w:rsid w:val="000562DC"/>
    <w:rsid w:val="0006448A"/>
    <w:rsid w:val="00091684"/>
    <w:rsid w:val="000B1285"/>
    <w:rsid w:val="001100F3"/>
    <w:rsid w:val="00121237"/>
    <w:rsid w:val="00122F09"/>
    <w:rsid w:val="00142319"/>
    <w:rsid w:val="001466EB"/>
    <w:rsid w:val="00146945"/>
    <w:rsid w:val="00187BBD"/>
    <w:rsid w:val="00196A84"/>
    <w:rsid w:val="001D0D3A"/>
    <w:rsid w:val="00206894"/>
    <w:rsid w:val="00270266"/>
    <w:rsid w:val="002717B3"/>
    <w:rsid w:val="002B4FDB"/>
    <w:rsid w:val="002D75E2"/>
    <w:rsid w:val="002F6D62"/>
    <w:rsid w:val="00343847"/>
    <w:rsid w:val="00401DA7"/>
    <w:rsid w:val="0041338E"/>
    <w:rsid w:val="0044430A"/>
    <w:rsid w:val="00490657"/>
    <w:rsid w:val="00496B71"/>
    <w:rsid w:val="004E6A9C"/>
    <w:rsid w:val="00537B74"/>
    <w:rsid w:val="00547C70"/>
    <w:rsid w:val="00567073"/>
    <w:rsid w:val="00572025"/>
    <w:rsid w:val="00583844"/>
    <w:rsid w:val="00591FD8"/>
    <w:rsid w:val="005D67D3"/>
    <w:rsid w:val="005E5AB9"/>
    <w:rsid w:val="00606A42"/>
    <w:rsid w:val="006344F8"/>
    <w:rsid w:val="006431AE"/>
    <w:rsid w:val="00657B6D"/>
    <w:rsid w:val="00667E17"/>
    <w:rsid w:val="006E1E0A"/>
    <w:rsid w:val="007065C0"/>
    <w:rsid w:val="007070EB"/>
    <w:rsid w:val="007402D2"/>
    <w:rsid w:val="00752932"/>
    <w:rsid w:val="007840C0"/>
    <w:rsid w:val="007E17F1"/>
    <w:rsid w:val="00807A7A"/>
    <w:rsid w:val="00807EB0"/>
    <w:rsid w:val="008410A4"/>
    <w:rsid w:val="008410F5"/>
    <w:rsid w:val="008E6802"/>
    <w:rsid w:val="0095500A"/>
    <w:rsid w:val="00967A1A"/>
    <w:rsid w:val="009716ED"/>
    <w:rsid w:val="009E3475"/>
    <w:rsid w:val="009E7B87"/>
    <w:rsid w:val="00A16C3B"/>
    <w:rsid w:val="00A21E12"/>
    <w:rsid w:val="00A60D4E"/>
    <w:rsid w:val="00B25EF6"/>
    <w:rsid w:val="00B33D05"/>
    <w:rsid w:val="00B53E4B"/>
    <w:rsid w:val="00B65944"/>
    <w:rsid w:val="00B73D79"/>
    <w:rsid w:val="00B91346"/>
    <w:rsid w:val="00B9177F"/>
    <w:rsid w:val="00BA14EB"/>
    <w:rsid w:val="00BA314B"/>
    <w:rsid w:val="00BB0705"/>
    <w:rsid w:val="00BD5A01"/>
    <w:rsid w:val="00BD7B15"/>
    <w:rsid w:val="00BE0523"/>
    <w:rsid w:val="00C45136"/>
    <w:rsid w:val="00CA67DD"/>
    <w:rsid w:val="00D22FA8"/>
    <w:rsid w:val="00D535A6"/>
    <w:rsid w:val="00D7463D"/>
    <w:rsid w:val="00D87126"/>
    <w:rsid w:val="00DD5A22"/>
    <w:rsid w:val="00DD647C"/>
    <w:rsid w:val="00E17145"/>
    <w:rsid w:val="00E42D90"/>
    <w:rsid w:val="00E5374B"/>
    <w:rsid w:val="00E560F1"/>
    <w:rsid w:val="00E7174A"/>
    <w:rsid w:val="00E7303C"/>
    <w:rsid w:val="00E7621D"/>
    <w:rsid w:val="00E8065C"/>
    <w:rsid w:val="00E823B2"/>
    <w:rsid w:val="00EF5152"/>
    <w:rsid w:val="00F123F5"/>
    <w:rsid w:val="00F20AB3"/>
    <w:rsid w:val="00F4148D"/>
    <w:rsid w:val="00F515D0"/>
    <w:rsid w:val="00F57C73"/>
    <w:rsid w:val="00F96B65"/>
    <w:rsid w:val="00FB6B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FC4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90"/>
    <w:pPr>
      <w:spacing w:after="120" w:line="240" w:lineRule="auto"/>
    </w:pPr>
    <w:rPr>
      <w:rFonts w:ascii="Open Sans" w:hAnsi="Open Sans" w:cs="Arial"/>
      <w:color w:val="000000" w:themeColor="text1"/>
      <w:szCs w:val="20"/>
    </w:rPr>
  </w:style>
  <w:style w:type="paragraph" w:styleId="Heading1">
    <w:name w:val="heading 1"/>
    <w:basedOn w:val="Normal"/>
    <w:next w:val="Normal"/>
    <w:link w:val="Heading1Char"/>
    <w:uiPriority w:val="9"/>
    <w:qFormat/>
    <w:rsid w:val="00E42D90"/>
    <w:pPr>
      <w:keepNext/>
      <w:keepLines/>
      <w:spacing w:before="240" w:after="0"/>
      <w:outlineLvl w:val="0"/>
    </w:pPr>
    <w:rPr>
      <w:rFonts w:eastAsiaTheme="majorEastAsia" w:cstheme="majorBidi"/>
      <w:b/>
      <w:color w:val="005C84" w:themeColor="accent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21D"/>
    <w:rPr>
      <w:color w:val="auto"/>
      <w:u w:val="single" w:color="7F7F7F" w:themeColor="text1" w:themeTint="80"/>
    </w:rPr>
  </w:style>
  <w:style w:type="table" w:styleId="TableGrid">
    <w:name w:val="Table Grid"/>
    <w:basedOn w:val="TableNormal"/>
    <w:uiPriority w:val="59"/>
    <w:rsid w:val="00E7621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E7621D"/>
    <w:pPr>
      <w:spacing w:before="60" w:after="60"/>
    </w:pPr>
  </w:style>
  <w:style w:type="paragraph" w:customStyle="1" w:styleId="TableListBullet">
    <w:name w:val="Table List Bullet"/>
    <w:basedOn w:val="TableText"/>
    <w:qFormat/>
    <w:rsid w:val="00E7621D"/>
    <w:pPr>
      <w:numPr>
        <w:numId w:val="1"/>
      </w:numPr>
    </w:pPr>
  </w:style>
  <w:style w:type="paragraph" w:styleId="ListParagraph">
    <w:name w:val="List Paragraph"/>
    <w:basedOn w:val="Normal"/>
    <w:uiPriority w:val="34"/>
    <w:qFormat/>
    <w:rsid w:val="00F515D0"/>
    <w:pPr>
      <w:ind w:left="720"/>
      <w:contextualSpacing/>
    </w:pPr>
  </w:style>
  <w:style w:type="paragraph" w:styleId="Header">
    <w:name w:val="header"/>
    <w:basedOn w:val="Normal"/>
    <w:link w:val="HeaderChar"/>
    <w:uiPriority w:val="99"/>
    <w:unhideWhenUsed/>
    <w:rsid w:val="00490657"/>
    <w:pPr>
      <w:tabs>
        <w:tab w:val="center" w:pos="4513"/>
        <w:tab w:val="right" w:pos="9026"/>
      </w:tabs>
    </w:pPr>
  </w:style>
  <w:style w:type="character" w:customStyle="1" w:styleId="HeaderChar">
    <w:name w:val="Header Char"/>
    <w:basedOn w:val="DefaultParagraphFont"/>
    <w:link w:val="Header"/>
    <w:uiPriority w:val="99"/>
    <w:rsid w:val="00490657"/>
    <w:rPr>
      <w:rFonts w:ascii="Arial" w:hAnsi="Arial" w:cs="Arial"/>
      <w:color w:val="000000" w:themeColor="text1"/>
      <w:sz w:val="18"/>
      <w:szCs w:val="20"/>
    </w:rPr>
  </w:style>
  <w:style w:type="paragraph" w:styleId="Footer">
    <w:name w:val="footer"/>
    <w:basedOn w:val="Normal"/>
    <w:link w:val="FooterChar"/>
    <w:uiPriority w:val="99"/>
    <w:unhideWhenUsed/>
    <w:rsid w:val="00490657"/>
    <w:pPr>
      <w:tabs>
        <w:tab w:val="center" w:pos="4513"/>
        <w:tab w:val="right" w:pos="9026"/>
      </w:tabs>
    </w:pPr>
  </w:style>
  <w:style w:type="character" w:customStyle="1" w:styleId="FooterChar">
    <w:name w:val="Footer Char"/>
    <w:basedOn w:val="DefaultParagraphFont"/>
    <w:link w:val="Footer"/>
    <w:uiPriority w:val="99"/>
    <w:rsid w:val="00490657"/>
    <w:rPr>
      <w:rFonts w:ascii="Arial" w:hAnsi="Arial" w:cs="Arial"/>
      <w:color w:val="000000" w:themeColor="text1"/>
      <w:sz w:val="18"/>
      <w:szCs w:val="20"/>
    </w:rPr>
  </w:style>
  <w:style w:type="paragraph" w:styleId="FootnoteText">
    <w:name w:val="footnote text"/>
    <w:basedOn w:val="Normal"/>
    <w:link w:val="FootnoteTextChar"/>
    <w:uiPriority w:val="99"/>
    <w:semiHidden/>
    <w:unhideWhenUsed/>
    <w:rsid w:val="002F6D62"/>
    <w:rPr>
      <w:sz w:val="20"/>
    </w:rPr>
  </w:style>
  <w:style w:type="character" w:customStyle="1" w:styleId="FootnoteTextChar">
    <w:name w:val="Footnote Text Char"/>
    <w:basedOn w:val="DefaultParagraphFont"/>
    <w:link w:val="FootnoteText"/>
    <w:uiPriority w:val="99"/>
    <w:semiHidden/>
    <w:rsid w:val="002F6D62"/>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2F6D62"/>
    <w:rPr>
      <w:vertAlign w:val="superscript"/>
    </w:rPr>
  </w:style>
  <w:style w:type="character" w:styleId="CommentReference">
    <w:name w:val="annotation reference"/>
    <w:basedOn w:val="DefaultParagraphFont"/>
    <w:uiPriority w:val="99"/>
    <w:semiHidden/>
    <w:unhideWhenUsed/>
    <w:rsid w:val="00187BBD"/>
    <w:rPr>
      <w:sz w:val="16"/>
      <w:szCs w:val="16"/>
    </w:rPr>
  </w:style>
  <w:style w:type="paragraph" w:styleId="CommentText">
    <w:name w:val="annotation text"/>
    <w:basedOn w:val="Normal"/>
    <w:link w:val="CommentTextChar"/>
    <w:uiPriority w:val="99"/>
    <w:semiHidden/>
    <w:unhideWhenUsed/>
    <w:rsid w:val="00187BBD"/>
    <w:rPr>
      <w:sz w:val="20"/>
    </w:rPr>
  </w:style>
  <w:style w:type="character" w:customStyle="1" w:styleId="CommentTextChar">
    <w:name w:val="Comment Text Char"/>
    <w:basedOn w:val="DefaultParagraphFont"/>
    <w:link w:val="CommentText"/>
    <w:uiPriority w:val="99"/>
    <w:semiHidden/>
    <w:rsid w:val="00187BBD"/>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87BBD"/>
    <w:rPr>
      <w:b/>
      <w:bCs/>
    </w:rPr>
  </w:style>
  <w:style w:type="character" w:customStyle="1" w:styleId="CommentSubjectChar">
    <w:name w:val="Comment Subject Char"/>
    <w:basedOn w:val="CommentTextChar"/>
    <w:link w:val="CommentSubject"/>
    <w:uiPriority w:val="99"/>
    <w:semiHidden/>
    <w:rsid w:val="00187BBD"/>
    <w:rPr>
      <w:rFonts w:ascii="Arial" w:hAnsi="Arial" w:cs="Arial"/>
      <w:b/>
      <w:bCs/>
      <w:color w:val="000000" w:themeColor="text1"/>
      <w:sz w:val="20"/>
      <w:szCs w:val="20"/>
    </w:rPr>
  </w:style>
  <w:style w:type="paragraph" w:styleId="BalloonText">
    <w:name w:val="Balloon Text"/>
    <w:basedOn w:val="Normal"/>
    <w:link w:val="BalloonTextChar"/>
    <w:uiPriority w:val="99"/>
    <w:semiHidden/>
    <w:unhideWhenUsed/>
    <w:rsid w:val="00187BBD"/>
    <w:rPr>
      <w:rFonts w:ascii="Segoe UI" w:hAnsi="Segoe UI" w:cs="Segoe UI"/>
      <w:szCs w:val="18"/>
    </w:rPr>
  </w:style>
  <w:style w:type="character" w:customStyle="1" w:styleId="BalloonTextChar">
    <w:name w:val="Balloon Text Char"/>
    <w:basedOn w:val="DefaultParagraphFont"/>
    <w:link w:val="BalloonText"/>
    <w:uiPriority w:val="99"/>
    <w:semiHidden/>
    <w:rsid w:val="00187BBD"/>
    <w:rPr>
      <w:rFonts w:ascii="Segoe UI" w:hAnsi="Segoe UI" w:cs="Segoe UI"/>
      <w:color w:val="000000" w:themeColor="text1"/>
      <w:sz w:val="18"/>
      <w:szCs w:val="18"/>
    </w:rPr>
  </w:style>
  <w:style w:type="character" w:customStyle="1" w:styleId="Heading1Char">
    <w:name w:val="Heading 1 Char"/>
    <w:basedOn w:val="DefaultParagraphFont"/>
    <w:link w:val="Heading1"/>
    <w:uiPriority w:val="9"/>
    <w:rsid w:val="00E42D90"/>
    <w:rPr>
      <w:rFonts w:ascii="Open Sans" w:eastAsiaTheme="majorEastAsia" w:hAnsi="Open Sans" w:cstheme="majorBidi"/>
      <w:b/>
      <w:color w:val="005C84" w:themeColor="accent2"/>
      <w:sz w:val="28"/>
      <w:szCs w:val="32"/>
    </w:rPr>
  </w:style>
  <w:style w:type="paragraph" w:styleId="NoSpacing">
    <w:name w:val="No Spacing"/>
    <w:uiPriority w:val="1"/>
    <w:qFormat/>
    <w:rsid w:val="00A21E12"/>
    <w:pPr>
      <w:spacing w:after="0" w:line="240" w:lineRule="auto"/>
    </w:pPr>
    <w:rPr>
      <w:rFonts w:ascii="Open Sans" w:hAnsi="Open Sans" w:cs="Arial"/>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059">
      <w:bodyDiv w:val="1"/>
      <w:marLeft w:val="0"/>
      <w:marRight w:val="0"/>
      <w:marTop w:val="0"/>
      <w:marBottom w:val="0"/>
      <w:divBdr>
        <w:top w:val="none" w:sz="0" w:space="0" w:color="auto"/>
        <w:left w:val="none" w:sz="0" w:space="0" w:color="auto"/>
        <w:bottom w:val="none" w:sz="0" w:space="0" w:color="auto"/>
        <w:right w:val="none" w:sz="0" w:space="0" w:color="auto"/>
      </w:divBdr>
    </w:div>
    <w:div w:id="469400883">
      <w:bodyDiv w:val="1"/>
      <w:marLeft w:val="0"/>
      <w:marRight w:val="0"/>
      <w:marTop w:val="0"/>
      <w:marBottom w:val="0"/>
      <w:divBdr>
        <w:top w:val="none" w:sz="0" w:space="0" w:color="auto"/>
        <w:left w:val="none" w:sz="0" w:space="0" w:color="auto"/>
        <w:bottom w:val="none" w:sz="0" w:space="0" w:color="auto"/>
        <w:right w:val="none" w:sz="0" w:space="0" w:color="auto"/>
      </w:divBdr>
    </w:div>
    <w:div w:id="987325792">
      <w:bodyDiv w:val="1"/>
      <w:marLeft w:val="0"/>
      <w:marRight w:val="0"/>
      <w:marTop w:val="0"/>
      <w:marBottom w:val="0"/>
      <w:divBdr>
        <w:top w:val="none" w:sz="0" w:space="0" w:color="auto"/>
        <w:left w:val="none" w:sz="0" w:space="0" w:color="auto"/>
        <w:bottom w:val="none" w:sz="0" w:space="0" w:color="auto"/>
        <w:right w:val="none" w:sz="0" w:space="0" w:color="auto"/>
      </w:divBdr>
      <w:divsChild>
        <w:div w:id="1770734486">
          <w:marLeft w:val="274"/>
          <w:marRight w:val="0"/>
          <w:marTop w:val="0"/>
          <w:marBottom w:val="0"/>
          <w:divBdr>
            <w:top w:val="none" w:sz="0" w:space="0" w:color="auto"/>
            <w:left w:val="none" w:sz="0" w:space="0" w:color="auto"/>
            <w:bottom w:val="none" w:sz="0" w:space="0" w:color="auto"/>
            <w:right w:val="none" w:sz="0" w:space="0" w:color="auto"/>
          </w:divBdr>
        </w:div>
        <w:div w:id="804665686">
          <w:marLeft w:val="274"/>
          <w:marRight w:val="0"/>
          <w:marTop w:val="0"/>
          <w:marBottom w:val="0"/>
          <w:divBdr>
            <w:top w:val="none" w:sz="0" w:space="0" w:color="auto"/>
            <w:left w:val="none" w:sz="0" w:space="0" w:color="auto"/>
            <w:bottom w:val="none" w:sz="0" w:space="0" w:color="auto"/>
            <w:right w:val="none" w:sz="0" w:space="0" w:color="auto"/>
          </w:divBdr>
        </w:div>
        <w:div w:id="2106807714">
          <w:marLeft w:val="274"/>
          <w:marRight w:val="0"/>
          <w:marTop w:val="0"/>
          <w:marBottom w:val="0"/>
          <w:divBdr>
            <w:top w:val="none" w:sz="0" w:space="0" w:color="auto"/>
            <w:left w:val="none" w:sz="0" w:space="0" w:color="auto"/>
            <w:bottom w:val="none" w:sz="0" w:space="0" w:color="auto"/>
            <w:right w:val="none" w:sz="0" w:space="0" w:color="auto"/>
          </w:divBdr>
        </w:div>
        <w:div w:id="2068992948">
          <w:marLeft w:val="274"/>
          <w:marRight w:val="0"/>
          <w:marTop w:val="0"/>
          <w:marBottom w:val="0"/>
          <w:divBdr>
            <w:top w:val="none" w:sz="0" w:space="0" w:color="auto"/>
            <w:left w:val="none" w:sz="0" w:space="0" w:color="auto"/>
            <w:bottom w:val="none" w:sz="0" w:space="0" w:color="auto"/>
            <w:right w:val="none" w:sz="0" w:space="0" w:color="auto"/>
          </w:divBdr>
        </w:div>
      </w:divsChild>
    </w:div>
    <w:div w:id="1058624115">
      <w:bodyDiv w:val="1"/>
      <w:marLeft w:val="0"/>
      <w:marRight w:val="0"/>
      <w:marTop w:val="0"/>
      <w:marBottom w:val="0"/>
      <w:divBdr>
        <w:top w:val="none" w:sz="0" w:space="0" w:color="auto"/>
        <w:left w:val="none" w:sz="0" w:space="0" w:color="auto"/>
        <w:bottom w:val="none" w:sz="0" w:space="0" w:color="auto"/>
        <w:right w:val="none" w:sz="0" w:space="0" w:color="auto"/>
      </w:divBdr>
      <w:divsChild>
        <w:div w:id="605309756">
          <w:marLeft w:val="360"/>
          <w:marRight w:val="0"/>
          <w:marTop w:val="200"/>
          <w:marBottom w:val="0"/>
          <w:divBdr>
            <w:top w:val="none" w:sz="0" w:space="0" w:color="auto"/>
            <w:left w:val="none" w:sz="0" w:space="0" w:color="auto"/>
            <w:bottom w:val="none" w:sz="0" w:space="0" w:color="auto"/>
            <w:right w:val="none" w:sz="0" w:space="0" w:color="auto"/>
          </w:divBdr>
        </w:div>
        <w:div w:id="168567353">
          <w:marLeft w:val="360"/>
          <w:marRight w:val="0"/>
          <w:marTop w:val="200"/>
          <w:marBottom w:val="0"/>
          <w:divBdr>
            <w:top w:val="none" w:sz="0" w:space="0" w:color="auto"/>
            <w:left w:val="none" w:sz="0" w:space="0" w:color="auto"/>
            <w:bottom w:val="none" w:sz="0" w:space="0" w:color="auto"/>
            <w:right w:val="none" w:sz="0" w:space="0" w:color="auto"/>
          </w:divBdr>
        </w:div>
        <w:div w:id="1304578086">
          <w:marLeft w:val="360"/>
          <w:marRight w:val="0"/>
          <w:marTop w:val="200"/>
          <w:marBottom w:val="0"/>
          <w:divBdr>
            <w:top w:val="none" w:sz="0" w:space="0" w:color="auto"/>
            <w:left w:val="none" w:sz="0" w:space="0" w:color="auto"/>
            <w:bottom w:val="none" w:sz="0" w:space="0" w:color="auto"/>
            <w:right w:val="none" w:sz="0" w:space="0" w:color="auto"/>
          </w:divBdr>
        </w:div>
        <w:div w:id="330959257">
          <w:marLeft w:val="360"/>
          <w:marRight w:val="0"/>
          <w:marTop w:val="200"/>
          <w:marBottom w:val="0"/>
          <w:divBdr>
            <w:top w:val="none" w:sz="0" w:space="0" w:color="auto"/>
            <w:left w:val="none" w:sz="0" w:space="0" w:color="auto"/>
            <w:bottom w:val="none" w:sz="0" w:space="0" w:color="auto"/>
            <w:right w:val="none" w:sz="0" w:space="0" w:color="auto"/>
          </w:divBdr>
        </w:div>
      </w:divsChild>
    </w:div>
    <w:div w:id="20830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8E9EE.0BAB8CF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protectivesecurity.govt.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sr@protectivesecurity.govt.n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rotectivesecurity.govt.nz/assets/Governance/agency-supporting-documentation-2023-24.xls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PSR Training Template">
      <a:dk1>
        <a:sysClr val="windowText" lastClr="000000"/>
      </a:dk1>
      <a:lt1>
        <a:sysClr val="window" lastClr="FFFFFF"/>
      </a:lt1>
      <a:dk2>
        <a:srgbClr val="003145"/>
      </a:dk2>
      <a:lt2>
        <a:srgbClr val="E7E6E6"/>
      </a:lt2>
      <a:accent1>
        <a:srgbClr val="0094B3"/>
      </a:accent1>
      <a:accent2>
        <a:srgbClr val="005C84"/>
      </a:accent2>
      <a:accent3>
        <a:srgbClr val="B6DCCE"/>
      </a:accent3>
      <a:accent4>
        <a:srgbClr val="FC5830"/>
      </a:accent4>
      <a:accent5>
        <a:srgbClr val="919744"/>
      </a:accent5>
      <a:accent6>
        <a:srgbClr val="7F7F7F"/>
      </a:accent6>
      <a:hlink>
        <a:srgbClr val="70AD4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C33D-1B0E-4A1D-A5A8-EC0B870B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2023-10-09T20:19:00Z</dcterms:created>
  <dcterms:modified xsi:type="dcterms:W3CDTF">2023-10-26T01:18:00Z</dcterms:modified>
</cp:coreProperties>
</file>